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bookmarkStart w:id="0" w:name="_GoBack"/>
      <w:bookmarkEnd w:id="0"/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  <w:lang w:val="en-GB"/>
        </w:rPr>
      </w:pPr>
    </w:p>
    <w:p w:rsidR="004112DA" w:rsidRPr="00B84061" w:rsidRDefault="004112DA" w:rsidP="00A32492">
      <w:pPr>
        <w:spacing w:after="0" w:line="240" w:lineRule="auto"/>
        <w:rPr>
          <w:rFonts w:ascii="Times New Roman" w:hAnsi="Times New Roman"/>
          <w:b/>
          <w:color w:val="000000"/>
          <w:highlight w:val="yellow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color w:val="000000"/>
          <w:highlight w:val="yellow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B84061">
        <w:rPr>
          <w:rFonts w:ascii="Times New Roman" w:hAnsi="Times New Roman"/>
          <w:b/>
          <w:color w:val="000000"/>
          <w:lang w:val="en-GB"/>
        </w:rPr>
        <w:t>VIRAL HEPATITIS B</w:t>
      </w:r>
    </w:p>
    <w:p w:rsidR="00A32492" w:rsidRPr="00B84061" w:rsidRDefault="00A32492" w:rsidP="00A32492">
      <w:pPr>
        <w:pStyle w:val="1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  <w:sz w:val="22"/>
          <w:szCs w:val="22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87"/>
      </w:tblGrid>
      <w:tr w:rsidR="00A32492" w:rsidRPr="00B84061" w:rsidTr="002D177D">
        <w:trPr>
          <w:trHeight w:val="224"/>
        </w:trPr>
        <w:tc>
          <w:tcPr>
            <w:tcW w:w="10915" w:type="dxa"/>
            <w:gridSpan w:val="2"/>
          </w:tcPr>
          <w:p w:rsidR="00A32492" w:rsidRPr="00B84061" w:rsidRDefault="00A32492" w:rsidP="00A3249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84061">
              <w:rPr>
                <w:rStyle w:val="A7"/>
                <w:rFonts w:ascii="Times New Roman" w:hAnsi="Times New Roman" w:cs="Times New Roman"/>
                <w:sz w:val="22"/>
                <w:szCs w:val="22"/>
                <w:lang w:val="en-GB"/>
              </w:rPr>
              <w:t>SEROLOGICAL MARKERS OF HBV</w:t>
            </w:r>
          </w:p>
          <w:p w:rsidR="00A32492" w:rsidRPr="00B84061" w:rsidRDefault="00A32492" w:rsidP="00A32492">
            <w:pPr>
              <w:pStyle w:val="1"/>
              <w:shd w:val="clear" w:color="auto" w:fill="FFFFFF"/>
              <w:spacing w:before="0" w:beforeAutospacing="0" w:after="0" w:afterAutospacing="0"/>
              <w:ind w:right="300"/>
              <w:jc w:val="center"/>
              <w:textAlignment w:val="baseline"/>
              <w:rPr>
                <w:color w:val="333333"/>
                <w:sz w:val="22"/>
                <w:szCs w:val="22"/>
                <w:lang w:val="en-GB"/>
              </w:rPr>
            </w:pPr>
            <w:r w:rsidRPr="00B84061">
              <w:rPr>
                <w:color w:val="FFFFFF" w:themeColor="background1"/>
                <w:sz w:val="22"/>
                <w:szCs w:val="22"/>
                <w:highlight w:val="darkGray"/>
                <w:lang w:val="en-GB"/>
              </w:rPr>
              <w:t>SURCE:</w:t>
            </w:r>
            <w:r w:rsidRPr="00B84061">
              <w:rPr>
                <w:color w:val="333333"/>
                <w:sz w:val="22"/>
                <w:szCs w:val="22"/>
                <w:lang w:val="en-GB"/>
              </w:rPr>
              <w:t xml:space="preserve"> WHO: first hepatitis B treatment guidelines</w:t>
            </w:r>
          </w:p>
          <w:p w:rsidR="00D6614A" w:rsidRPr="00B84061" w:rsidRDefault="00852162" w:rsidP="00D6614A">
            <w:pPr>
              <w:pStyle w:val="1"/>
              <w:shd w:val="clear" w:color="auto" w:fill="FFFFFF"/>
              <w:spacing w:before="0" w:beforeAutospacing="0" w:after="0" w:afterAutospacing="0"/>
              <w:ind w:right="300"/>
              <w:jc w:val="center"/>
              <w:textAlignment w:val="baseline"/>
              <w:rPr>
                <w:rStyle w:val="A5"/>
                <w:rFonts w:cs="Times New Roman"/>
                <w:sz w:val="22"/>
                <w:szCs w:val="22"/>
                <w:u w:val="single"/>
                <w:lang w:val="en-GB"/>
              </w:rPr>
            </w:pPr>
            <w:hyperlink r:id="rId5" w:history="1">
              <w:r w:rsidR="00D6614A" w:rsidRPr="00B84061">
                <w:rPr>
                  <w:rStyle w:val="a3"/>
                  <w:sz w:val="22"/>
                  <w:szCs w:val="22"/>
                  <w:lang w:val="en-GB"/>
                </w:rPr>
                <w:t>http://apps.who.int/iris/bitstream/10665/154590/1/9789241549059_eng.pdf?ua=1&amp;ua=1</w:t>
              </w:r>
            </w:hyperlink>
            <w:r w:rsidR="00D6614A" w:rsidRPr="00B84061">
              <w:rPr>
                <w:rStyle w:val="a3"/>
                <w:color w:val="000000"/>
                <w:sz w:val="22"/>
                <w:szCs w:val="22"/>
                <w:lang w:val="en-GB"/>
              </w:rPr>
              <w:br/>
            </w:r>
          </w:p>
        </w:tc>
      </w:tr>
      <w:tr w:rsidR="004112DA" w:rsidRPr="00B84061" w:rsidTr="00A32492">
        <w:trPr>
          <w:trHeight w:val="224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Hepatitis B surface antigen (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HBsAg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HBV envelope protein and excess coat particles detectable in the blood in acute and chronic hepatitis B infection </w:t>
            </w:r>
          </w:p>
        </w:tc>
      </w:tr>
      <w:tr w:rsidR="004112DA" w:rsidRPr="00B84061" w:rsidTr="00A32492">
        <w:trPr>
          <w:trHeight w:val="224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Hepatitis B core antigen (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HBV core protein. The core protein is coated with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HBsAg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therefore not found free in serum </w:t>
            </w:r>
          </w:p>
        </w:tc>
      </w:tr>
      <w:tr w:rsidR="004112DA" w:rsidRPr="00B84061" w:rsidTr="00A32492">
        <w:trPr>
          <w:trHeight w:val="338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Hepatitis B e antigen (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HBeAg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Viral protein found in the high replicative phase of hepatitis B.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HBeAg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is usually a marker of high levels of replication with wild-type virus but is not essential for viral replication </w:t>
            </w:r>
          </w:p>
        </w:tc>
      </w:tr>
      <w:tr w:rsidR="004112DA" w:rsidRPr="00B84061" w:rsidTr="00A32492">
        <w:trPr>
          <w:trHeight w:val="338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Hepatitis B surface antibody (anti-HBs) </w:t>
            </w:r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Antibody to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HBsAg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Develops in response to HBV vaccination and during recovery from acute hepatitis B, denoting past infection and immunity </w:t>
            </w:r>
          </w:p>
        </w:tc>
      </w:tr>
      <w:tr w:rsidR="004112DA" w:rsidRPr="00B84061" w:rsidTr="00A32492">
        <w:trPr>
          <w:trHeight w:val="338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HBe</w:t>
            </w:r>
            <w:proofErr w:type="spellEnd"/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Antibody to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HBeAg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Detected in persons with lower levels of HBV replication but also in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HBeAg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-negative disease (i.e. HBV that does not express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HBeAg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</w:p>
        </w:tc>
      </w:tr>
      <w:tr w:rsidR="004112DA" w:rsidRPr="00B84061" w:rsidTr="00A32492">
        <w:trPr>
          <w:trHeight w:val="338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Hepatitis B core antibody (anti-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Antibody to hepatitis B core (capsid) protein. 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antibodies are not neutralizing antibodies and are detected in both acute and chronic infection </w:t>
            </w:r>
          </w:p>
        </w:tc>
      </w:tr>
      <w:tr w:rsidR="004112DA" w:rsidRPr="00B84061" w:rsidTr="00A32492">
        <w:trPr>
          <w:trHeight w:val="224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IgM 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Subclass of 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Detected in acute hepatitis B but can be detected by sensitive assays in active chronic HBV </w:t>
            </w:r>
          </w:p>
        </w:tc>
      </w:tr>
      <w:tr w:rsidR="004112DA" w:rsidRPr="00B84061" w:rsidTr="00A32492">
        <w:trPr>
          <w:trHeight w:val="110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IgG 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Subclass of 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detected in past or current infection </w:t>
            </w:r>
          </w:p>
        </w:tc>
      </w:tr>
      <w:tr w:rsidR="004112DA" w:rsidRPr="00B84061" w:rsidTr="00A32492">
        <w:trPr>
          <w:trHeight w:val="338"/>
        </w:trPr>
        <w:tc>
          <w:tcPr>
            <w:tcW w:w="3828" w:type="dxa"/>
          </w:tcPr>
          <w:p w:rsidR="004112DA" w:rsidRPr="00B84061" w:rsidRDefault="004112DA" w:rsidP="00A32492">
            <w:pPr>
              <w:pStyle w:val="Pa1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Occult HBV infection </w:t>
            </w:r>
          </w:p>
        </w:tc>
        <w:tc>
          <w:tcPr>
            <w:tcW w:w="7087" w:type="dxa"/>
          </w:tcPr>
          <w:p w:rsidR="004112DA" w:rsidRPr="00B84061" w:rsidRDefault="004112DA" w:rsidP="00A32492">
            <w:pPr>
              <w:pStyle w:val="Pa6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Persons who have cleared hepatitis B surface antigen, i.e. they are 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HBsAg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negative but HBV DNA positive, although at very low levels (invariably &lt;200 IU/mL); most are also anti-</w:t>
            </w:r>
            <w:proofErr w:type="spellStart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>HBc</w:t>
            </w:r>
            <w:proofErr w:type="spellEnd"/>
            <w:r w:rsidRPr="00B84061">
              <w:rPr>
                <w:rStyle w:val="A5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positive </w:t>
            </w:r>
          </w:p>
        </w:tc>
      </w:tr>
    </w:tbl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 w:rsidRPr="00B84061">
        <w:rPr>
          <w:rFonts w:ascii="Times New Roman" w:hAnsi="Times New Roman"/>
          <w:b/>
          <w:lang w:val="en-GB"/>
        </w:rPr>
        <w:t>Acute hepatitis B</w:t>
      </w:r>
    </w:p>
    <w:p w:rsidR="00D6614A" w:rsidRPr="00B84061" w:rsidRDefault="00D6614A" w:rsidP="00D6614A">
      <w:pPr>
        <w:pStyle w:val="1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color w:val="333333"/>
          <w:sz w:val="22"/>
          <w:szCs w:val="22"/>
          <w:lang w:val="en-GB"/>
        </w:rPr>
      </w:pPr>
      <w:r w:rsidRPr="00B84061">
        <w:rPr>
          <w:color w:val="FFFFFF" w:themeColor="background1"/>
          <w:sz w:val="22"/>
          <w:szCs w:val="22"/>
          <w:highlight w:val="darkGray"/>
          <w:lang w:val="en-GB"/>
        </w:rPr>
        <w:t>SURCE:</w:t>
      </w:r>
      <w:r w:rsidRPr="00B84061">
        <w:rPr>
          <w:color w:val="333333"/>
          <w:sz w:val="22"/>
          <w:szCs w:val="22"/>
          <w:lang w:val="en-GB"/>
        </w:rPr>
        <w:t xml:space="preserve"> WHO: first hepatitis B treatment guidelines</w:t>
      </w:r>
    </w:p>
    <w:p w:rsidR="00D6614A" w:rsidRPr="00B84061" w:rsidRDefault="00852162" w:rsidP="00D6614A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hyperlink r:id="rId6" w:history="1">
        <w:r w:rsidR="00D6614A" w:rsidRPr="00B84061">
          <w:rPr>
            <w:rStyle w:val="a3"/>
            <w:rFonts w:ascii="Times New Roman" w:hAnsi="Times New Roman"/>
            <w:lang w:val="en-GB"/>
          </w:rPr>
          <w:t>http://apps.who.int/iris/bitstream/10665/154590/1/9789241549059_eng.pdf?ua=1&amp;ua=1</w:t>
        </w:r>
      </w:hyperlink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lang w:val="en-GB"/>
        </w:rPr>
        <w:t xml:space="preserve">Antiviral therapy is not necessary for uncomplicated symptomatic acute hepatitis B, as &gt;95% of </w:t>
      </w:r>
      <w:proofErr w:type="spellStart"/>
      <w:r w:rsidRPr="00B84061">
        <w:rPr>
          <w:rFonts w:ascii="Times New Roman" w:hAnsi="Times New Roman"/>
          <w:lang w:val="en-GB"/>
        </w:rPr>
        <w:t>immunocompeten</w:t>
      </w:r>
      <w:proofErr w:type="spellEnd"/>
      <w:r w:rsidRPr="00B84061">
        <w:rPr>
          <w:rFonts w:ascii="Times New Roman" w:hAnsi="Times New Roman"/>
          <w:lang w:val="en-GB"/>
        </w:rPr>
        <w:t xml:space="preserve"> </w:t>
      </w:r>
      <w:proofErr w:type="spellStart"/>
      <w:r w:rsidRPr="00B84061">
        <w:rPr>
          <w:rFonts w:ascii="Times New Roman" w:hAnsi="Times New Roman"/>
          <w:lang w:val="en-GB"/>
        </w:rPr>
        <w:t>tadults</w:t>
      </w:r>
      <w:proofErr w:type="spellEnd"/>
      <w:r w:rsidRPr="00B84061">
        <w:rPr>
          <w:rFonts w:ascii="Times New Roman" w:hAnsi="Times New Roman"/>
          <w:lang w:val="en-GB"/>
        </w:rPr>
        <w:t xml:space="preserve"> will spontaneously clear HBV infection. Persons with fulminant or severe acute hepatitis may benefit from NA therapy with </w:t>
      </w:r>
      <w:proofErr w:type="spellStart"/>
      <w:r w:rsidRPr="00B84061">
        <w:rPr>
          <w:rFonts w:ascii="Times New Roman" w:hAnsi="Times New Roman"/>
          <w:b/>
          <w:lang w:val="en-GB"/>
        </w:rPr>
        <w:t>entecavir</w:t>
      </w:r>
      <w:proofErr w:type="spellEnd"/>
      <w:r w:rsidRPr="00B84061">
        <w:rPr>
          <w:rFonts w:ascii="Times New Roman" w:hAnsi="Times New Roman"/>
          <w:b/>
          <w:lang w:val="en-GB"/>
        </w:rPr>
        <w:t xml:space="preserve"> or </w:t>
      </w:r>
      <w:proofErr w:type="spellStart"/>
      <w:r w:rsidRPr="00B84061">
        <w:rPr>
          <w:rFonts w:ascii="Times New Roman" w:hAnsi="Times New Roman"/>
          <w:b/>
          <w:lang w:val="en-GB"/>
        </w:rPr>
        <w:t>tenofovir</w:t>
      </w:r>
      <w:proofErr w:type="spellEnd"/>
      <w:r w:rsidRPr="00B84061">
        <w:rPr>
          <w:rFonts w:ascii="Times New Roman" w:hAnsi="Times New Roman"/>
          <w:lang w:val="en-GB"/>
        </w:rPr>
        <w:t>, to improve survival and reduce the risk of recurrent hepatitis B. The duration of treatment is not established, but continuation of antiviral therapy for at least 3 months after seroconversion to anti-HBs or at least 12 months after anti-</w:t>
      </w:r>
      <w:proofErr w:type="spellStart"/>
      <w:r w:rsidRPr="00B84061">
        <w:rPr>
          <w:rFonts w:ascii="Times New Roman" w:hAnsi="Times New Roman"/>
          <w:lang w:val="en-GB"/>
        </w:rPr>
        <w:t>HBe</w:t>
      </w:r>
      <w:proofErr w:type="spellEnd"/>
      <w:r w:rsidRPr="00B84061">
        <w:rPr>
          <w:rFonts w:ascii="Times New Roman" w:hAnsi="Times New Roman"/>
          <w:lang w:val="en-GB"/>
        </w:rPr>
        <w:t xml:space="preserve"> seroconversion without </w:t>
      </w:r>
      <w:proofErr w:type="spellStart"/>
      <w:r w:rsidRPr="00B84061">
        <w:rPr>
          <w:rFonts w:ascii="Times New Roman" w:hAnsi="Times New Roman"/>
          <w:lang w:val="en-GB"/>
        </w:rPr>
        <w:t>HBsAg</w:t>
      </w:r>
      <w:proofErr w:type="spellEnd"/>
      <w:r w:rsidRPr="00B84061">
        <w:rPr>
          <w:rFonts w:ascii="Times New Roman" w:hAnsi="Times New Roman"/>
          <w:lang w:val="en-GB"/>
        </w:rPr>
        <w:t xml:space="preserve"> loss is generally advised.</w:t>
      </w: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u w:val="single"/>
          <w:lang w:val="en-GB"/>
        </w:rPr>
      </w:pPr>
      <w:r w:rsidRPr="00B84061">
        <w:rPr>
          <w:rFonts w:ascii="Times New Roman" w:hAnsi="Times New Roman"/>
          <w:u w:val="single"/>
          <w:lang w:val="en-GB"/>
        </w:rPr>
        <w:t>Currently available treatments of chronic VHB fail to eradicate the virus in most of those treated, necessitating potentially life long treatment.</w:t>
      </w:r>
    </w:p>
    <w:p w:rsidR="00E747FB" w:rsidRPr="00B84061" w:rsidRDefault="00E747FB" w:rsidP="00A32492">
      <w:pPr>
        <w:spacing w:after="0" w:line="240" w:lineRule="auto"/>
        <w:jc w:val="both"/>
        <w:rPr>
          <w:rFonts w:ascii="Times New Roman" w:hAnsi="Times New Roman"/>
          <w:color w:val="000000"/>
          <w:u w:val="single"/>
          <w:lang w:val="en-GB"/>
        </w:rPr>
      </w:pPr>
    </w:p>
    <w:p w:rsidR="00E02CBB" w:rsidRPr="00B84061" w:rsidRDefault="00E02CBB" w:rsidP="00A32492">
      <w:pPr>
        <w:spacing w:after="0" w:line="240" w:lineRule="auto"/>
        <w:jc w:val="both"/>
        <w:rPr>
          <w:rFonts w:ascii="Times New Roman" w:hAnsi="Times New Roman"/>
          <w:color w:val="000000"/>
          <w:u w:val="single"/>
          <w:lang w:val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9207"/>
      </w:tblGrid>
      <w:tr w:rsidR="00E747FB" w:rsidRPr="00B84061" w:rsidTr="00CE38EC">
        <w:tc>
          <w:tcPr>
            <w:tcW w:w="11016" w:type="dxa"/>
            <w:gridSpan w:val="2"/>
          </w:tcPr>
          <w:p w:rsidR="00E747FB" w:rsidRPr="00B84061" w:rsidRDefault="00E747FB" w:rsidP="00E74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>WHO TO TREAT AND WHO NOT TO TREAT IN PERSONS WITH CHRONIC HEPATITIS B</w:t>
            </w:r>
          </w:p>
          <w:p w:rsidR="00E747FB" w:rsidRPr="00B84061" w:rsidRDefault="00E747FB" w:rsidP="00E747FB">
            <w:pPr>
              <w:pStyle w:val="1"/>
              <w:shd w:val="clear" w:color="auto" w:fill="FFFFFF"/>
              <w:spacing w:before="0" w:beforeAutospacing="0" w:after="0" w:afterAutospacing="0"/>
              <w:ind w:right="300"/>
              <w:jc w:val="center"/>
              <w:textAlignment w:val="baseline"/>
              <w:outlineLvl w:val="0"/>
              <w:rPr>
                <w:color w:val="333333"/>
                <w:sz w:val="22"/>
                <w:szCs w:val="22"/>
                <w:lang w:val="en-GB"/>
              </w:rPr>
            </w:pPr>
            <w:r w:rsidRPr="00B84061">
              <w:rPr>
                <w:color w:val="FFFFFF" w:themeColor="background1"/>
                <w:sz w:val="22"/>
                <w:szCs w:val="22"/>
                <w:highlight w:val="darkGray"/>
                <w:lang w:val="en-GB"/>
              </w:rPr>
              <w:t>SURCE:</w:t>
            </w:r>
            <w:r w:rsidRPr="00B84061">
              <w:rPr>
                <w:color w:val="333333"/>
                <w:sz w:val="22"/>
                <w:szCs w:val="22"/>
                <w:lang w:val="en-GB"/>
              </w:rPr>
              <w:t xml:space="preserve"> WHO: first hepatitis B treatment guidelines</w:t>
            </w:r>
          </w:p>
          <w:p w:rsidR="00E747FB" w:rsidRPr="00B84061" w:rsidRDefault="00852162" w:rsidP="00E02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hyperlink r:id="rId7" w:history="1">
              <w:r w:rsidR="00E747FB" w:rsidRPr="00B84061">
                <w:rPr>
                  <w:rStyle w:val="a3"/>
                  <w:rFonts w:ascii="Times New Roman" w:hAnsi="Times New Roman"/>
                  <w:lang w:val="en-GB"/>
                </w:rPr>
                <w:t>http://apps.who.int/iris/bitstream/10665/154590/1/9789241549059_eng.pdf?ua=1&amp;ua=1</w:t>
              </w:r>
            </w:hyperlink>
          </w:p>
        </w:tc>
      </w:tr>
      <w:tr w:rsidR="00E747FB" w:rsidRPr="00B84061" w:rsidTr="00E747FB">
        <w:tc>
          <w:tcPr>
            <w:tcW w:w="1809" w:type="dxa"/>
          </w:tcPr>
          <w:p w:rsidR="00E747FB" w:rsidRPr="00B84061" w:rsidRDefault="00E747FB" w:rsidP="00E7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u w:val="single"/>
                <w:lang w:val="en-GB"/>
              </w:rPr>
              <w:t xml:space="preserve">Who to treat </w:t>
            </w:r>
          </w:p>
        </w:tc>
        <w:tc>
          <w:tcPr>
            <w:tcW w:w="9207" w:type="dxa"/>
          </w:tcPr>
          <w:p w:rsidR="00E02CBB" w:rsidRPr="00B84061" w:rsidRDefault="00E02CBB" w:rsidP="00E02C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>As a priority: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all adults, adolescents and children with CHB and clinical evidence of: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compensated cirrhosis or 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decompensated cirrhosis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lastRenderedPageBreak/>
              <w:t>(or cirrhosis based on APRI score &gt;2 in adults)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proofErr w:type="gramStart"/>
            <w:r w:rsidRPr="00B84061">
              <w:rPr>
                <w:rFonts w:ascii="Times New Roman" w:hAnsi="Times New Roman"/>
                <w:color w:val="000000"/>
                <w:lang w:val="en-GB"/>
              </w:rPr>
              <w:t>regardless</w:t>
            </w:r>
            <w:proofErr w:type="gram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of ALT levels,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status or HBV DNA levels. </w:t>
            </w:r>
          </w:p>
          <w:p w:rsidR="00E02CBB" w:rsidRPr="00B84061" w:rsidRDefault="00E02CBB" w:rsidP="00E02C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B84061">
              <w:rPr>
                <w:rFonts w:ascii="Times New Roman" w:hAnsi="Times New Roman"/>
                <w:b/>
                <w:color w:val="000000"/>
                <w:lang w:val="en-GB"/>
              </w:rPr>
              <w:t>Treatment is recommended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B84061">
              <w:rPr>
                <w:rFonts w:ascii="Times New Roman" w:hAnsi="Times New Roman"/>
                <w:b/>
                <w:color w:val="000000"/>
                <w:lang w:val="en-GB"/>
              </w:rPr>
              <w:t>for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>: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adults with CHB who do not have clinical evidence of cirrhosis (or based on APRI score ≤2 in adults):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color w:val="000000"/>
                <w:lang w:val="en-GB"/>
              </w:rPr>
              <w:t>but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are aged more than 30 years (in particular),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and 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have persistently abnormal ALT levels 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and have 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evidence of high-level HBV replication (HBV DNA &gt;20 000 IU/mL), 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proofErr w:type="gramStart"/>
            <w:r w:rsidRPr="00B84061">
              <w:rPr>
                <w:rFonts w:ascii="Times New Roman" w:hAnsi="Times New Roman"/>
                <w:color w:val="000000"/>
                <w:lang w:val="en-GB"/>
              </w:rPr>
              <w:t>regardless</w:t>
            </w:r>
            <w:proofErr w:type="gram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of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status. </w:t>
            </w:r>
          </w:p>
          <w:p w:rsidR="00E02CBB" w:rsidRPr="00B84061" w:rsidRDefault="00E02CBB" w:rsidP="00E02C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i/>
                <w:iCs/>
                <w:color w:val="000000"/>
                <w:lang w:val="en-GB"/>
              </w:rPr>
              <w:t>Where HBV DNA testing is not available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: 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color w:val="000000"/>
                <w:lang w:val="en-GB"/>
              </w:rPr>
              <w:t>Treatment may be considered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based on: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persistently abnormal ALT levels alone, 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proofErr w:type="gramStart"/>
            <w:r w:rsidRPr="00B84061">
              <w:rPr>
                <w:rFonts w:ascii="Times New Roman" w:hAnsi="Times New Roman"/>
                <w:color w:val="000000"/>
                <w:lang w:val="en-GB"/>
              </w:rPr>
              <w:t>regardless</w:t>
            </w:r>
            <w:proofErr w:type="gram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of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status. </w:t>
            </w:r>
          </w:p>
          <w:p w:rsidR="00E02CBB" w:rsidRPr="00B84061" w:rsidRDefault="00E02CBB" w:rsidP="00E02C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In HBV/HIV-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coinfected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individuals: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color w:val="000000"/>
                <w:lang w:val="en-GB"/>
              </w:rPr>
              <w:t>ART should be initiated: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in all those with evidence of severe chronic liver disease, </w:t>
            </w:r>
          </w:p>
          <w:p w:rsidR="00E02CBB" w:rsidRPr="00B84061" w:rsidRDefault="00E02CBB" w:rsidP="00E02CBB">
            <w:pPr>
              <w:pStyle w:val="a4"/>
              <w:numPr>
                <w:ilvl w:val="3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regardless of CD4 count; </w:t>
            </w:r>
          </w:p>
          <w:p w:rsidR="00E02CBB" w:rsidRPr="00B84061" w:rsidRDefault="00E02CBB" w:rsidP="00E02CBB">
            <w:pPr>
              <w:pStyle w:val="a4"/>
              <w:numPr>
                <w:ilvl w:val="2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in all those with a CD4 count ≤500 cells/mm3, </w:t>
            </w:r>
          </w:p>
          <w:p w:rsidR="00E747FB" w:rsidRPr="00B84061" w:rsidRDefault="00E02CBB" w:rsidP="00A32492">
            <w:pPr>
              <w:pStyle w:val="a4"/>
              <w:numPr>
                <w:ilvl w:val="3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proofErr w:type="gramStart"/>
            <w:r w:rsidRPr="00B84061">
              <w:rPr>
                <w:rFonts w:ascii="Times New Roman" w:hAnsi="Times New Roman"/>
                <w:color w:val="000000"/>
                <w:lang w:val="en-GB"/>
              </w:rPr>
              <w:t>regardless</w:t>
            </w:r>
            <w:proofErr w:type="gram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of stage of liver disease. </w:t>
            </w:r>
          </w:p>
          <w:p w:rsidR="008E39DC" w:rsidRPr="00B84061" w:rsidRDefault="008E39DC" w:rsidP="008E39D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B84061">
              <w:rPr>
                <w:rFonts w:ascii="Times New Roman" w:hAnsi="Times New Roman"/>
              </w:rPr>
              <w:t>In HBV-</w:t>
            </w:r>
            <w:proofErr w:type="spellStart"/>
            <w:r w:rsidRPr="00B84061">
              <w:rPr>
                <w:rFonts w:ascii="Times New Roman" w:hAnsi="Times New Roman"/>
              </w:rPr>
              <w:t>monoinfected</w:t>
            </w:r>
            <w:proofErr w:type="spellEnd"/>
            <w:r w:rsidRPr="00B84061">
              <w:rPr>
                <w:rFonts w:ascii="Times New Roman" w:hAnsi="Times New Roman"/>
              </w:rPr>
              <w:t xml:space="preserve"> pregnant </w:t>
            </w:r>
            <w:proofErr w:type="spellStart"/>
            <w:r w:rsidRPr="00B84061">
              <w:rPr>
                <w:rFonts w:ascii="Times New Roman" w:hAnsi="Times New Roman"/>
              </w:rPr>
              <w:t>women</w:t>
            </w:r>
            <w:proofErr w:type="spellEnd"/>
            <w:r w:rsidRPr="00B84061">
              <w:rPr>
                <w:rFonts w:ascii="Times New Roman" w:hAnsi="Times New Roman"/>
              </w:rPr>
              <w:t>:</w:t>
            </w:r>
          </w:p>
          <w:p w:rsidR="008E39DC" w:rsidRPr="00B84061" w:rsidRDefault="008E39DC" w:rsidP="008E39D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</w:rPr>
              <w:t>the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indications</w:t>
            </w:r>
            <w:proofErr w:type="spellEnd"/>
            <w:r w:rsidRPr="00B84061">
              <w:rPr>
                <w:rFonts w:ascii="Times New Roman" w:hAnsi="Times New Roman"/>
              </w:rPr>
              <w:t xml:space="preserve"> for </w:t>
            </w:r>
            <w:proofErr w:type="spellStart"/>
            <w:r w:rsidRPr="00B84061">
              <w:rPr>
                <w:rFonts w:ascii="Times New Roman" w:hAnsi="Times New Roman"/>
              </w:rPr>
              <w:t>treatment</w:t>
            </w:r>
            <w:proofErr w:type="spellEnd"/>
            <w:r w:rsidRPr="00B84061">
              <w:rPr>
                <w:rFonts w:ascii="Times New Roman" w:hAnsi="Times New Roman"/>
              </w:rPr>
              <w:t xml:space="preserve"> are </w:t>
            </w:r>
            <w:proofErr w:type="spellStart"/>
            <w:r w:rsidRPr="00B84061">
              <w:rPr>
                <w:rFonts w:ascii="Times New Roman" w:hAnsi="Times New Roman"/>
              </w:rPr>
              <w:t>the</w:t>
            </w:r>
            <w:proofErr w:type="spellEnd"/>
            <w:r w:rsidRPr="00B84061">
              <w:rPr>
                <w:rFonts w:ascii="Times New Roman" w:hAnsi="Times New Roman"/>
              </w:rPr>
              <w:t xml:space="preserve"> same as for </w:t>
            </w:r>
            <w:proofErr w:type="spellStart"/>
            <w:r w:rsidRPr="00B84061">
              <w:rPr>
                <w:rFonts w:ascii="Times New Roman" w:hAnsi="Times New Roman"/>
              </w:rPr>
              <w:t>other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adults</w:t>
            </w:r>
            <w:proofErr w:type="spellEnd"/>
            <w:r w:rsidRPr="00B84061">
              <w:rPr>
                <w:rFonts w:ascii="Times New Roman" w:hAnsi="Times New Roman"/>
              </w:rPr>
              <w:t>,</w:t>
            </w:r>
          </w:p>
          <w:p w:rsidR="008E39DC" w:rsidRPr="00B84061" w:rsidRDefault="008E39DC" w:rsidP="008E39D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</w:rPr>
              <w:t>tenofovir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is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recommended</w:t>
            </w:r>
            <w:proofErr w:type="spellEnd"/>
            <w:r w:rsidRPr="00B84061">
              <w:rPr>
                <w:rFonts w:ascii="Times New Roman" w:hAnsi="Times New Roman"/>
              </w:rPr>
              <w:t>.</w:t>
            </w:r>
          </w:p>
          <w:p w:rsidR="008E39DC" w:rsidRPr="00B84061" w:rsidRDefault="008E39DC" w:rsidP="008E39D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</w:rPr>
              <w:t>no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recommendation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was</w:t>
            </w:r>
            <w:proofErr w:type="spellEnd"/>
            <w:r w:rsidRPr="00B84061">
              <w:rPr>
                <w:rFonts w:ascii="Times New Roman" w:hAnsi="Times New Roman"/>
              </w:rPr>
              <w:t xml:space="preserve"> made on </w:t>
            </w:r>
            <w:proofErr w:type="spellStart"/>
            <w:r w:rsidRPr="00B84061">
              <w:rPr>
                <w:rFonts w:ascii="Times New Roman" w:hAnsi="Times New Roman"/>
              </w:rPr>
              <w:t>the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routine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use</w:t>
            </w:r>
            <w:proofErr w:type="spellEnd"/>
            <w:r w:rsidRPr="00B84061">
              <w:rPr>
                <w:rFonts w:ascii="Times New Roman" w:hAnsi="Times New Roman"/>
              </w:rPr>
              <w:t xml:space="preserve"> of antiviral </w:t>
            </w:r>
            <w:proofErr w:type="spellStart"/>
            <w:r w:rsidRPr="00B84061">
              <w:rPr>
                <w:rFonts w:ascii="Times New Roman" w:hAnsi="Times New Roman"/>
              </w:rPr>
              <w:t>therapy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to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prevent</w:t>
            </w:r>
            <w:proofErr w:type="spellEnd"/>
            <w:r w:rsidRPr="00B84061">
              <w:rPr>
                <w:rFonts w:ascii="Times New Roman" w:hAnsi="Times New Roman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</w:rPr>
              <w:t>mother-to-child</w:t>
            </w:r>
            <w:proofErr w:type="spellEnd"/>
            <w:r w:rsidRPr="00B84061">
              <w:rPr>
                <w:rFonts w:ascii="Times New Roman" w:hAnsi="Times New Roman"/>
              </w:rPr>
              <w:t xml:space="preserve"> HBV </w:t>
            </w:r>
            <w:proofErr w:type="spellStart"/>
            <w:r w:rsidRPr="00B84061">
              <w:rPr>
                <w:rFonts w:ascii="Times New Roman" w:hAnsi="Times New Roman"/>
              </w:rPr>
              <w:t>transmission</w:t>
            </w:r>
            <w:proofErr w:type="spellEnd"/>
          </w:p>
        </w:tc>
      </w:tr>
      <w:tr w:rsidR="00E747FB" w:rsidRPr="00B84061" w:rsidTr="00E747FB">
        <w:tc>
          <w:tcPr>
            <w:tcW w:w="1809" w:type="dxa"/>
          </w:tcPr>
          <w:p w:rsidR="00E02CBB" w:rsidRPr="00B84061" w:rsidRDefault="00E02CBB" w:rsidP="00E02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u w:val="single"/>
                <w:lang w:val="en-GB"/>
              </w:rPr>
              <w:lastRenderedPageBreak/>
              <w:t xml:space="preserve">Who not to treat but continue to monitor </w:t>
            </w:r>
          </w:p>
          <w:p w:rsidR="00E747FB" w:rsidRPr="00B84061" w:rsidRDefault="00E747FB" w:rsidP="00A32492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207" w:type="dxa"/>
          </w:tcPr>
          <w:p w:rsidR="00E02CBB" w:rsidRPr="00B84061" w:rsidRDefault="00E02CBB" w:rsidP="00E02C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persons without clinical evidence of cirrhosis (or based on APRI score ≤2 in adults): 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r w:rsidRPr="00B84061">
              <w:rPr>
                <w:rFonts w:ascii="Times New Roman" w:hAnsi="Times New Roman"/>
                <w:b/>
                <w:color w:val="000000"/>
                <w:lang w:val="en-GB"/>
              </w:rPr>
              <w:t>and</w:t>
            </w: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with persistently normal ALT levels 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and 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levels of HBV DNA replication (HBV DNA &lt;2000 IU/mL), </w:t>
            </w:r>
          </w:p>
          <w:p w:rsidR="00E02CBB" w:rsidRPr="00B84061" w:rsidRDefault="00E02CBB" w:rsidP="00E02CB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regardless of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status</w:t>
            </w:r>
          </w:p>
          <w:p w:rsidR="00E747FB" w:rsidRPr="00B84061" w:rsidRDefault="00E02CBB" w:rsidP="00A32492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proofErr w:type="gramStart"/>
            <w:r w:rsidRPr="00B84061">
              <w:rPr>
                <w:rFonts w:ascii="Times New Roman" w:hAnsi="Times New Roman"/>
                <w:color w:val="000000"/>
                <w:lang w:val="en-GB"/>
              </w:rPr>
              <w:t>regardless</w:t>
            </w:r>
            <w:proofErr w:type="gram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of age. </w:t>
            </w:r>
          </w:p>
        </w:tc>
      </w:tr>
    </w:tbl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8E39DC" w:rsidRPr="00B84061" w:rsidRDefault="008E39DC" w:rsidP="008E39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spellStart"/>
      <w:r w:rsidRPr="00B84061">
        <w:rPr>
          <w:rFonts w:ascii="Times New Roman" w:hAnsi="Times New Roman"/>
        </w:rPr>
        <w:t>All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infants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should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receive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their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first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dose</w:t>
      </w:r>
      <w:proofErr w:type="spellEnd"/>
      <w:r w:rsidRPr="00B84061">
        <w:rPr>
          <w:rFonts w:ascii="Times New Roman" w:hAnsi="Times New Roman"/>
        </w:rPr>
        <w:t xml:space="preserve"> of </w:t>
      </w:r>
      <w:proofErr w:type="spellStart"/>
      <w:r w:rsidRPr="00B84061">
        <w:rPr>
          <w:rFonts w:ascii="Times New Roman" w:hAnsi="Times New Roman"/>
        </w:rPr>
        <w:t>hepatitis</w:t>
      </w:r>
      <w:proofErr w:type="spellEnd"/>
      <w:r w:rsidRPr="00B84061">
        <w:rPr>
          <w:rFonts w:ascii="Times New Roman" w:hAnsi="Times New Roman"/>
        </w:rPr>
        <w:t xml:space="preserve"> B vaccine as </w:t>
      </w:r>
      <w:proofErr w:type="spellStart"/>
      <w:r w:rsidRPr="00B84061">
        <w:rPr>
          <w:rFonts w:ascii="Times New Roman" w:hAnsi="Times New Roman"/>
        </w:rPr>
        <w:t>soon</w:t>
      </w:r>
      <w:proofErr w:type="spellEnd"/>
      <w:r w:rsidRPr="00B84061">
        <w:rPr>
          <w:rFonts w:ascii="Times New Roman" w:hAnsi="Times New Roman"/>
        </w:rPr>
        <w:t xml:space="preserve"> as </w:t>
      </w:r>
      <w:proofErr w:type="spellStart"/>
      <w:r w:rsidRPr="00B84061">
        <w:rPr>
          <w:rFonts w:ascii="Times New Roman" w:hAnsi="Times New Roman"/>
        </w:rPr>
        <w:t>possible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after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birth</w:t>
      </w:r>
      <w:proofErr w:type="spellEnd"/>
      <w:r w:rsidRPr="00B84061">
        <w:rPr>
          <w:rFonts w:ascii="Times New Roman" w:hAnsi="Times New Roman"/>
        </w:rPr>
        <w:t xml:space="preserve">, </w:t>
      </w:r>
      <w:proofErr w:type="spellStart"/>
      <w:r w:rsidRPr="00B84061">
        <w:rPr>
          <w:rFonts w:ascii="Times New Roman" w:hAnsi="Times New Roman"/>
        </w:rPr>
        <w:t>preferably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within</w:t>
      </w:r>
      <w:proofErr w:type="spellEnd"/>
      <w:r w:rsidRPr="00B84061">
        <w:rPr>
          <w:rFonts w:ascii="Times New Roman" w:hAnsi="Times New Roman"/>
        </w:rPr>
        <w:t xml:space="preserve"> 24 </w:t>
      </w:r>
      <w:proofErr w:type="spellStart"/>
      <w:r w:rsidRPr="00B84061">
        <w:rPr>
          <w:rFonts w:ascii="Times New Roman" w:hAnsi="Times New Roman"/>
        </w:rPr>
        <w:t>hours</w:t>
      </w:r>
      <w:proofErr w:type="spellEnd"/>
      <w:r w:rsidRPr="00B84061">
        <w:rPr>
          <w:rFonts w:ascii="Times New Roman" w:hAnsi="Times New Roman"/>
        </w:rPr>
        <w:t>,</w:t>
      </w:r>
    </w:p>
    <w:p w:rsidR="004112DA" w:rsidRPr="00B84061" w:rsidRDefault="008E39DC" w:rsidP="008E39D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GB"/>
        </w:rPr>
      </w:pPr>
      <w:proofErr w:type="spellStart"/>
      <w:r w:rsidRPr="00B84061">
        <w:rPr>
          <w:rFonts w:ascii="Times New Roman" w:hAnsi="Times New Roman"/>
        </w:rPr>
        <w:t>followed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by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two</w:t>
      </w:r>
      <w:proofErr w:type="spellEnd"/>
      <w:r w:rsidRPr="00B84061">
        <w:rPr>
          <w:rFonts w:ascii="Times New Roman" w:hAnsi="Times New Roman"/>
        </w:rPr>
        <w:t xml:space="preserve"> or </w:t>
      </w:r>
      <w:proofErr w:type="spellStart"/>
      <w:r w:rsidRPr="00B84061">
        <w:rPr>
          <w:rFonts w:ascii="Times New Roman" w:hAnsi="Times New Roman"/>
        </w:rPr>
        <w:t>three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doses</w:t>
      </w:r>
      <w:proofErr w:type="spellEnd"/>
      <w:r w:rsidRPr="00B84061">
        <w:rPr>
          <w:rFonts w:ascii="Times New Roman" w:hAnsi="Times New Roman"/>
        </w:rPr>
        <w:t xml:space="preserve">. WHO. </w:t>
      </w:r>
      <w:proofErr w:type="spellStart"/>
      <w:r w:rsidRPr="00B84061">
        <w:rPr>
          <w:rFonts w:ascii="Times New Roman" w:hAnsi="Times New Roman"/>
        </w:rPr>
        <w:t>Hepatitis</w:t>
      </w:r>
      <w:proofErr w:type="spellEnd"/>
      <w:r w:rsidRPr="00B84061">
        <w:rPr>
          <w:rFonts w:ascii="Times New Roman" w:hAnsi="Times New Roman"/>
        </w:rPr>
        <w:t xml:space="preserve"> B </w:t>
      </w:r>
      <w:proofErr w:type="spellStart"/>
      <w:r w:rsidRPr="00B84061">
        <w:rPr>
          <w:rFonts w:ascii="Times New Roman" w:hAnsi="Times New Roman"/>
        </w:rPr>
        <w:t>vaccines</w:t>
      </w:r>
      <w:proofErr w:type="spellEnd"/>
      <w:r w:rsidRPr="00B84061">
        <w:rPr>
          <w:rFonts w:ascii="Times New Roman" w:hAnsi="Times New Roman"/>
        </w:rPr>
        <w:t xml:space="preserve">. </w:t>
      </w:r>
      <w:proofErr w:type="spellStart"/>
      <w:r w:rsidRPr="00B84061">
        <w:rPr>
          <w:rFonts w:ascii="Times New Roman" w:hAnsi="Times New Roman"/>
        </w:rPr>
        <w:t>Wkly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Epidemiol</w:t>
      </w:r>
      <w:proofErr w:type="spellEnd"/>
      <w:r w:rsidRPr="00B84061">
        <w:rPr>
          <w:rFonts w:ascii="Times New Roman" w:hAnsi="Times New Roman"/>
        </w:rPr>
        <w:t xml:space="preserve"> Rec. 2009;84:405–20</w:t>
      </w:r>
    </w:p>
    <w:p w:rsidR="004112DA" w:rsidRPr="00B84061" w:rsidRDefault="004112DA" w:rsidP="00A3249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  <w:r w:rsidRPr="00B84061">
        <w:rPr>
          <w:rFonts w:ascii="Times New Roman" w:hAnsi="Times New Roman"/>
          <w:b/>
          <w:bCs/>
          <w:color w:val="000000"/>
          <w:lang w:val="en-GB"/>
        </w:rPr>
        <w:t>FIRST-LINE ANTIVIRAL THERAPIES FOR CHRONIC HEPATITIS B</w:t>
      </w:r>
    </w:p>
    <w:p w:rsidR="004B62BE" w:rsidRPr="00B84061" w:rsidRDefault="004B62BE" w:rsidP="004B62BE">
      <w:pPr>
        <w:pStyle w:val="1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color w:val="333333"/>
          <w:sz w:val="22"/>
          <w:szCs w:val="22"/>
          <w:lang w:val="en-GB"/>
        </w:rPr>
      </w:pPr>
      <w:r w:rsidRPr="00B84061">
        <w:rPr>
          <w:color w:val="FFFFFF" w:themeColor="background1"/>
          <w:sz w:val="22"/>
          <w:szCs w:val="22"/>
          <w:highlight w:val="darkGray"/>
          <w:lang w:val="en-GB"/>
        </w:rPr>
        <w:t>SURCE:</w:t>
      </w:r>
      <w:r w:rsidRPr="00B84061">
        <w:rPr>
          <w:color w:val="333333"/>
          <w:sz w:val="22"/>
          <w:szCs w:val="22"/>
          <w:lang w:val="en-GB"/>
        </w:rPr>
        <w:t xml:space="preserve"> WHO: first hepatitis B treatment guidelines</w:t>
      </w:r>
    </w:p>
    <w:p w:rsidR="004B62BE" w:rsidRPr="00B84061" w:rsidRDefault="00852162" w:rsidP="004B62B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color w:val="000000"/>
          <w:lang w:val="en-GB"/>
        </w:rPr>
      </w:pPr>
      <w:hyperlink r:id="rId8" w:history="1">
        <w:r w:rsidR="004B62BE" w:rsidRPr="00B84061">
          <w:rPr>
            <w:rStyle w:val="a3"/>
            <w:rFonts w:ascii="Times New Roman" w:hAnsi="Times New Roman"/>
            <w:lang w:val="en-GB"/>
          </w:rPr>
          <w:t>http://apps.who.int/iris/bitstream/10665/154590/1/9789241549059_eng.pdf?ua=1&amp;ua=1</w:t>
        </w:r>
      </w:hyperlink>
    </w:p>
    <w:p w:rsidR="004B62BE" w:rsidRPr="00B84061" w:rsidRDefault="004B62BE" w:rsidP="004B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</w:p>
    <w:p w:rsidR="00E02CBB" w:rsidRPr="00B84061" w:rsidRDefault="004112DA" w:rsidP="00E02C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In all adults, adolescents and children aged 12 years or older</w:t>
      </w:r>
      <w:r w:rsidR="00E02CBB" w:rsidRPr="00B84061">
        <w:rPr>
          <w:rFonts w:ascii="Times New Roman" w:hAnsi="Times New Roman"/>
          <w:color w:val="000000"/>
          <w:lang w:val="en-GB"/>
        </w:rPr>
        <w:t>:</w:t>
      </w:r>
    </w:p>
    <w:p w:rsidR="00E02CBB" w:rsidRPr="00B84061" w:rsidRDefault="004112DA" w:rsidP="00E02CBB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the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nucleos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>(t)ide analogues (NAs) which have a high barrier to drug resistance (</w:t>
      </w:r>
      <w:proofErr w:type="spellStart"/>
      <w:r w:rsidRPr="00B84061">
        <w:rPr>
          <w:rFonts w:ascii="Times New Roman" w:hAnsi="Times New Roman"/>
          <w:b/>
          <w:color w:val="000000"/>
          <w:lang w:val="en-GB"/>
        </w:rPr>
        <w:t>tenofovir</w:t>
      </w:r>
      <w:proofErr w:type="spellEnd"/>
      <w:r w:rsidRPr="00B84061">
        <w:rPr>
          <w:rFonts w:ascii="Times New Roman" w:hAnsi="Times New Roman"/>
          <w:b/>
          <w:color w:val="000000"/>
          <w:lang w:val="en-GB"/>
        </w:rPr>
        <w:t xml:space="preserve"> or </w:t>
      </w:r>
      <w:proofErr w:type="spellStart"/>
      <w:r w:rsidRPr="00B84061">
        <w:rPr>
          <w:rFonts w:ascii="Times New Roman" w:hAnsi="Times New Roman"/>
          <w:b/>
          <w:color w:val="000000"/>
          <w:lang w:val="en-GB"/>
        </w:rPr>
        <w:t>entecavir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) </w:t>
      </w:r>
    </w:p>
    <w:p w:rsidR="00E02CBB" w:rsidRPr="00B84061" w:rsidRDefault="00E02CBB" w:rsidP="00E02C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In </w:t>
      </w:r>
      <w:r w:rsidR="004112DA" w:rsidRPr="00B84061">
        <w:rPr>
          <w:rFonts w:ascii="Times New Roman" w:hAnsi="Times New Roman"/>
          <w:color w:val="000000"/>
          <w:lang w:val="en-GB"/>
        </w:rPr>
        <w:t>children aged 2–11 years</w:t>
      </w:r>
      <w:r w:rsidRPr="00B84061">
        <w:rPr>
          <w:rFonts w:ascii="Times New Roman" w:hAnsi="Times New Roman"/>
          <w:color w:val="000000"/>
          <w:lang w:val="en-GB"/>
        </w:rPr>
        <w:t>:</w:t>
      </w:r>
    </w:p>
    <w:p w:rsidR="00E02CBB" w:rsidRPr="00B84061" w:rsidRDefault="00E02CBB" w:rsidP="00E02CBB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proofErr w:type="spellStart"/>
      <w:r w:rsidRPr="00B84061">
        <w:rPr>
          <w:rFonts w:ascii="Times New Roman" w:hAnsi="Times New Roman"/>
          <w:color w:val="000000"/>
          <w:lang w:val="en-GB"/>
        </w:rPr>
        <w:t>Entecavir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</w:t>
      </w:r>
    </w:p>
    <w:p w:rsidR="004112DA" w:rsidRPr="00B84061" w:rsidRDefault="004112DA" w:rsidP="00E0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b/>
          <w:color w:val="000000"/>
          <w:lang w:val="en-GB"/>
        </w:rPr>
        <w:t>NAs with a low barrier to resistance</w:t>
      </w:r>
      <w:r w:rsidRPr="00B84061">
        <w:rPr>
          <w:rFonts w:ascii="Times New Roman" w:hAnsi="Times New Roman"/>
          <w:color w:val="000000"/>
          <w:lang w:val="en-GB"/>
        </w:rPr>
        <w:t xml:space="preserve"> (lamivudine,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adefovir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or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telbivudine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) can lead to drug resistance and are not recommended. </w:t>
      </w:r>
    </w:p>
    <w:p w:rsidR="00E02CBB" w:rsidRPr="00B84061" w:rsidRDefault="00E02CBB" w:rsidP="00E0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E02CBB" w:rsidRPr="00B84061" w:rsidRDefault="004112DA" w:rsidP="00E02CB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In HBV/HIV-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coinfected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adults, adolescents and children aged 3 years or older</w:t>
      </w:r>
      <w:r w:rsidR="00E02CBB" w:rsidRPr="00B84061">
        <w:rPr>
          <w:rFonts w:ascii="Times New Roman" w:hAnsi="Times New Roman"/>
          <w:color w:val="000000"/>
          <w:lang w:val="en-GB"/>
        </w:rPr>
        <w:t>:</w:t>
      </w:r>
    </w:p>
    <w:p w:rsidR="00E02CBB" w:rsidRPr="00B84061" w:rsidRDefault="004112DA" w:rsidP="00E02CB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proofErr w:type="spellStart"/>
      <w:proofErr w:type="gramStart"/>
      <w:r w:rsidRPr="00B84061">
        <w:rPr>
          <w:rFonts w:ascii="Times New Roman" w:hAnsi="Times New Roman"/>
          <w:color w:val="000000"/>
          <w:lang w:val="en-GB"/>
        </w:rPr>
        <w:t>tenofovir</w:t>
      </w:r>
      <w:proofErr w:type="spellEnd"/>
      <w:proofErr w:type="gramEnd"/>
      <w:r w:rsidRPr="00B84061">
        <w:rPr>
          <w:rFonts w:ascii="Times New Roman" w:hAnsi="Times New Roman"/>
          <w:color w:val="000000"/>
          <w:lang w:val="en-GB"/>
        </w:rPr>
        <w:t xml:space="preserve"> + lamivudine (or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emtricitabine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) +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efavirenz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as a fixed-dose combination </w:t>
      </w:r>
      <w:r w:rsidR="00E02CBB" w:rsidRPr="00B84061">
        <w:rPr>
          <w:rFonts w:ascii="Times New Roman" w:hAnsi="Times New Roman"/>
          <w:color w:val="000000"/>
          <w:lang w:val="en-GB"/>
        </w:rPr>
        <w:t>=</w:t>
      </w:r>
      <w:r w:rsidRPr="00B84061">
        <w:rPr>
          <w:rFonts w:ascii="Times New Roman" w:hAnsi="Times New Roman"/>
          <w:color w:val="000000"/>
          <w:lang w:val="en-GB"/>
        </w:rPr>
        <w:t xml:space="preserve"> the preferred option to initiate ART. </w:t>
      </w:r>
    </w:p>
    <w:p w:rsidR="00E02CBB" w:rsidRPr="00B84061" w:rsidRDefault="004112DA" w:rsidP="00E02CB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In persons with confirmed or suspected antiviral resistance</w:t>
      </w:r>
      <w:r w:rsidR="00E02CBB" w:rsidRPr="00B84061">
        <w:rPr>
          <w:rFonts w:ascii="Times New Roman" w:hAnsi="Times New Roman"/>
          <w:color w:val="000000"/>
          <w:lang w:val="en-GB"/>
        </w:rPr>
        <w:t xml:space="preserve"> </w:t>
      </w:r>
      <w:r w:rsidRPr="00B84061">
        <w:rPr>
          <w:rFonts w:ascii="Times New Roman" w:hAnsi="Times New Roman"/>
          <w:color w:val="000000"/>
          <w:lang w:val="en-GB"/>
        </w:rPr>
        <w:t xml:space="preserve">to lamivudine,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entecavir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adefovir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or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telbivudine</w:t>
      </w:r>
      <w:proofErr w:type="spellEnd"/>
      <w:r w:rsidR="00E02CBB" w:rsidRPr="00B84061">
        <w:rPr>
          <w:rFonts w:ascii="Times New Roman" w:hAnsi="Times New Roman"/>
          <w:color w:val="000000"/>
          <w:lang w:val="en-GB"/>
        </w:rPr>
        <w:t>:</w:t>
      </w:r>
    </w:p>
    <w:p w:rsidR="004112DA" w:rsidRPr="00B84061" w:rsidRDefault="004112DA" w:rsidP="00E02CB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switch to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tenofovir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</w:t>
      </w:r>
    </w:p>
    <w:p w:rsidR="00E02CBB" w:rsidRPr="00B84061" w:rsidRDefault="00E02CBB" w:rsidP="00A3249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lang w:val="en-GB"/>
        </w:rPr>
      </w:pPr>
    </w:p>
    <w:p w:rsidR="00E02CBB" w:rsidRPr="00B84061" w:rsidRDefault="004112DA" w:rsidP="00E02CB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All persons </w:t>
      </w:r>
      <w:r w:rsidRPr="00B84061">
        <w:rPr>
          <w:rFonts w:ascii="Times New Roman" w:hAnsi="Times New Roman"/>
          <w:b/>
          <w:bCs/>
          <w:color w:val="000000"/>
          <w:lang w:val="en-GB"/>
        </w:rPr>
        <w:t xml:space="preserve">with cirrhosis </w:t>
      </w:r>
      <w:r w:rsidRPr="00B84061">
        <w:rPr>
          <w:rFonts w:ascii="Times New Roman" w:hAnsi="Times New Roman"/>
          <w:color w:val="000000"/>
          <w:lang w:val="en-GB"/>
        </w:rPr>
        <w:t>based on clinical evidence (or APRI score &gt;2 in adults)</w:t>
      </w:r>
      <w:r w:rsidR="00E02CBB" w:rsidRPr="00B84061">
        <w:rPr>
          <w:rFonts w:ascii="Times New Roman" w:hAnsi="Times New Roman"/>
          <w:color w:val="000000"/>
          <w:lang w:val="en-GB"/>
        </w:rPr>
        <w:t>:</w:t>
      </w:r>
    </w:p>
    <w:p w:rsidR="00E02CBB" w:rsidRPr="00B84061" w:rsidRDefault="004112DA" w:rsidP="00E02CB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require lifelong treatment with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nucleos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(t)ide analogues (NAs), </w:t>
      </w:r>
    </w:p>
    <w:p w:rsidR="00E02CBB" w:rsidRPr="00B84061" w:rsidRDefault="004112DA" w:rsidP="00A32492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and should not discontinue antiviral therapy becau</w:t>
      </w:r>
      <w:r w:rsidR="00E02CBB" w:rsidRPr="00B84061">
        <w:rPr>
          <w:rFonts w:ascii="Times New Roman" w:hAnsi="Times New Roman"/>
          <w:color w:val="000000"/>
          <w:lang w:val="en-GB"/>
        </w:rPr>
        <w:t>se of the risk of reactivation</w:t>
      </w:r>
    </w:p>
    <w:p w:rsidR="00E02CBB" w:rsidRPr="00B84061" w:rsidRDefault="00E02CBB" w:rsidP="00E02CBB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lang w:val="en-GB"/>
        </w:rPr>
      </w:pPr>
    </w:p>
    <w:p w:rsidR="009F6019" w:rsidRPr="00B84061" w:rsidRDefault="004112DA" w:rsidP="009F601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Discontinuation of NA therapy may be considered exceptionally in: </w:t>
      </w:r>
    </w:p>
    <w:p w:rsidR="009F6019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persons without clinical evidence of cirrhosis (or based on APRI score ≤2 in adults); </w:t>
      </w:r>
    </w:p>
    <w:p w:rsidR="009F6019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b/>
          <w:bCs/>
          <w:color w:val="000000"/>
          <w:lang w:val="en-GB"/>
        </w:rPr>
        <w:lastRenderedPageBreak/>
        <w:t xml:space="preserve">and </w:t>
      </w:r>
      <w:r w:rsidRPr="00B84061">
        <w:rPr>
          <w:rFonts w:ascii="Times New Roman" w:hAnsi="Times New Roman"/>
          <w:color w:val="000000"/>
          <w:lang w:val="en-GB"/>
        </w:rPr>
        <w:t xml:space="preserve">who can be followed carefully long term for reactivation; </w:t>
      </w:r>
    </w:p>
    <w:p w:rsidR="009F6019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b/>
          <w:bCs/>
          <w:color w:val="000000"/>
          <w:lang w:val="en-GB"/>
        </w:rPr>
        <w:t xml:space="preserve">and </w:t>
      </w:r>
      <w:r w:rsidRPr="00B84061">
        <w:rPr>
          <w:rFonts w:ascii="Times New Roman" w:hAnsi="Times New Roman"/>
          <w:color w:val="000000"/>
          <w:lang w:val="en-GB"/>
        </w:rPr>
        <w:t xml:space="preserve">if there is evidence of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HBeAg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loss and seroconversion to anti-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HBe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(in persons initially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HBeAg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po</w:t>
      </w:r>
      <w:r w:rsidR="009F6019" w:rsidRPr="00B84061">
        <w:rPr>
          <w:rFonts w:ascii="Times New Roman" w:hAnsi="Times New Roman"/>
          <w:color w:val="000000"/>
          <w:lang w:val="en-GB"/>
        </w:rPr>
        <w:t xml:space="preserve">sitive </w:t>
      </w:r>
      <w:r w:rsidRPr="00B84061">
        <w:rPr>
          <w:rFonts w:ascii="Times New Roman" w:hAnsi="Times New Roman"/>
          <w:color w:val="000000"/>
          <w:lang w:val="en-GB"/>
        </w:rPr>
        <w:t xml:space="preserve">and after completion of at least one additional year of treatment; </w:t>
      </w:r>
    </w:p>
    <w:p w:rsidR="004112DA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B84061">
        <w:rPr>
          <w:rFonts w:ascii="Times New Roman" w:hAnsi="Times New Roman"/>
          <w:b/>
          <w:bCs/>
          <w:color w:val="000000"/>
          <w:lang w:val="en-GB"/>
        </w:rPr>
        <w:t>and</w:t>
      </w:r>
      <w:proofErr w:type="gramEnd"/>
      <w:r w:rsidRPr="00B84061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 w:rsidRPr="00B84061">
        <w:rPr>
          <w:rFonts w:ascii="Times New Roman" w:hAnsi="Times New Roman"/>
          <w:color w:val="000000"/>
          <w:lang w:val="en-GB"/>
        </w:rPr>
        <w:t xml:space="preserve">in association with persistently normal ALT levels </w:t>
      </w:r>
      <w:r w:rsidRPr="00B84061">
        <w:rPr>
          <w:rFonts w:ascii="Times New Roman" w:hAnsi="Times New Roman"/>
          <w:b/>
          <w:bCs/>
          <w:color w:val="000000"/>
          <w:lang w:val="en-GB"/>
        </w:rPr>
        <w:t xml:space="preserve">and </w:t>
      </w:r>
      <w:r w:rsidRPr="00B84061">
        <w:rPr>
          <w:rFonts w:ascii="Times New Roman" w:hAnsi="Times New Roman"/>
          <w:color w:val="000000"/>
          <w:lang w:val="en-GB"/>
        </w:rPr>
        <w:t xml:space="preserve">persistently undetectable HBV DNA levels </w:t>
      </w:r>
      <w:r w:rsidRPr="00B84061">
        <w:rPr>
          <w:rFonts w:ascii="Times New Roman" w:hAnsi="Times New Roman"/>
          <w:i/>
          <w:iCs/>
          <w:color w:val="000000"/>
          <w:lang w:val="en-GB"/>
        </w:rPr>
        <w:t>(where HBV DNA testing is available)</w:t>
      </w:r>
      <w:r w:rsidRPr="00B84061">
        <w:rPr>
          <w:rFonts w:ascii="Times New Roman" w:hAnsi="Times New Roman"/>
          <w:color w:val="000000"/>
          <w:lang w:val="en-GB"/>
        </w:rPr>
        <w:t>.</w:t>
      </w:r>
    </w:p>
    <w:p w:rsidR="009F6019" w:rsidRPr="00B84061" w:rsidRDefault="004112DA" w:rsidP="009F601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Relapse may occur after stopping therapy with NAs. </w:t>
      </w:r>
    </w:p>
    <w:p w:rsidR="009F6019" w:rsidRPr="00B84061" w:rsidRDefault="004112DA" w:rsidP="009F601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Retreatment is recommended if there are consistent signs of reactivation</w:t>
      </w:r>
      <w:r w:rsidR="009F6019" w:rsidRPr="00B84061">
        <w:rPr>
          <w:rFonts w:ascii="Times New Roman" w:hAnsi="Times New Roman"/>
          <w:color w:val="000000"/>
          <w:lang w:val="en-GB"/>
        </w:rPr>
        <w:t>:</w:t>
      </w:r>
    </w:p>
    <w:p w:rsidR="009F6019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proofErr w:type="spellStart"/>
      <w:r w:rsidRPr="00B84061">
        <w:rPr>
          <w:rFonts w:ascii="Times New Roman" w:hAnsi="Times New Roman"/>
          <w:color w:val="000000"/>
          <w:lang w:val="en-GB"/>
        </w:rPr>
        <w:t>HBsAg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or </w:t>
      </w:r>
      <w:proofErr w:type="spellStart"/>
      <w:r w:rsidRPr="00B84061">
        <w:rPr>
          <w:rFonts w:ascii="Times New Roman" w:hAnsi="Times New Roman"/>
          <w:color w:val="000000"/>
          <w:lang w:val="en-GB"/>
        </w:rPr>
        <w:t>HBeAg</w:t>
      </w:r>
      <w:proofErr w:type="spellEnd"/>
      <w:r w:rsidRPr="00B84061">
        <w:rPr>
          <w:rFonts w:ascii="Times New Roman" w:hAnsi="Times New Roman"/>
          <w:color w:val="000000"/>
          <w:lang w:val="en-GB"/>
        </w:rPr>
        <w:t xml:space="preserve"> becomes positive, </w:t>
      </w:r>
    </w:p>
    <w:p w:rsidR="009F6019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 xml:space="preserve">ALT levels increase, </w:t>
      </w:r>
    </w:p>
    <w:p w:rsidR="004112DA" w:rsidRPr="00B84061" w:rsidRDefault="004112DA" w:rsidP="009F601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HBV DNA becomes detectable again</w:t>
      </w:r>
    </w:p>
    <w:p w:rsidR="004112DA" w:rsidRPr="00B84061" w:rsidRDefault="004112DA" w:rsidP="00A3249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245"/>
        <w:gridCol w:w="2119"/>
      </w:tblGrid>
      <w:tr w:rsidR="009F6019" w:rsidRPr="00B84061" w:rsidTr="00EB682F">
        <w:tc>
          <w:tcPr>
            <w:tcW w:w="11016" w:type="dxa"/>
            <w:gridSpan w:val="4"/>
          </w:tcPr>
          <w:p w:rsidR="009F6019" w:rsidRPr="00B84061" w:rsidRDefault="009F6019" w:rsidP="009F601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4061">
              <w:rPr>
                <w:rStyle w:val="A5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Phases of chronic hepatitis B</w:t>
            </w:r>
          </w:p>
          <w:p w:rsidR="003B7227" w:rsidRPr="00B84061" w:rsidRDefault="003B7227" w:rsidP="003B7227">
            <w:pPr>
              <w:pStyle w:val="1"/>
              <w:shd w:val="clear" w:color="auto" w:fill="FFFFFF"/>
              <w:spacing w:before="0" w:beforeAutospacing="0" w:after="0" w:afterAutospacing="0"/>
              <w:ind w:right="300"/>
              <w:jc w:val="center"/>
              <w:textAlignment w:val="baseline"/>
              <w:rPr>
                <w:color w:val="333333"/>
                <w:sz w:val="16"/>
                <w:szCs w:val="16"/>
                <w:lang w:val="en-GB"/>
              </w:rPr>
            </w:pPr>
            <w:r w:rsidRPr="00B84061">
              <w:rPr>
                <w:color w:val="FFFFFF" w:themeColor="background1"/>
                <w:sz w:val="16"/>
                <w:szCs w:val="16"/>
                <w:highlight w:val="darkGray"/>
                <w:lang w:val="en-GB"/>
              </w:rPr>
              <w:t>SURCE:</w:t>
            </w:r>
            <w:r w:rsidRPr="00B84061">
              <w:rPr>
                <w:color w:val="333333"/>
                <w:sz w:val="16"/>
                <w:szCs w:val="16"/>
                <w:lang w:val="en-GB"/>
              </w:rPr>
              <w:t xml:space="preserve"> WHO: first hepatitis B treatment guidelines</w:t>
            </w:r>
          </w:p>
          <w:p w:rsidR="003B7227" w:rsidRPr="00B84061" w:rsidRDefault="00852162" w:rsidP="003B7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hyperlink r:id="rId9" w:history="1">
              <w:r w:rsidR="003B7227" w:rsidRPr="00B84061">
                <w:rPr>
                  <w:rStyle w:val="a3"/>
                  <w:rFonts w:ascii="Times New Roman" w:hAnsi="Times New Roman"/>
                  <w:sz w:val="16"/>
                  <w:szCs w:val="16"/>
                  <w:lang w:val="en-GB"/>
                </w:rPr>
                <w:t>http://apps.who.int/iris/bitstream/10665/154590/1/9789241549059_eng.pdf?ua=1&amp;ua=1</w:t>
              </w:r>
            </w:hyperlink>
          </w:p>
        </w:tc>
      </w:tr>
      <w:tr w:rsidR="004112DA" w:rsidRPr="00B84061" w:rsidTr="004B62BE">
        <w:tc>
          <w:tcPr>
            <w:tcW w:w="2093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Phase </w:t>
            </w:r>
          </w:p>
        </w:tc>
        <w:tc>
          <w:tcPr>
            <w:tcW w:w="155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 status </w:t>
            </w:r>
          </w:p>
        </w:tc>
        <w:tc>
          <w:tcPr>
            <w:tcW w:w="524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Pattern </w:t>
            </w:r>
          </w:p>
        </w:tc>
        <w:tc>
          <w:tcPr>
            <w:tcW w:w="211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Indications for treatment </w:t>
            </w:r>
          </w:p>
        </w:tc>
      </w:tr>
      <w:tr w:rsidR="004112DA" w:rsidRPr="00B84061" w:rsidTr="004B62BE">
        <w:tc>
          <w:tcPr>
            <w:tcW w:w="2093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1. “Immune tolerant” </w:t>
            </w:r>
          </w:p>
        </w:tc>
        <w:tc>
          <w:tcPr>
            <w:tcW w:w="155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positive </w:t>
            </w:r>
          </w:p>
        </w:tc>
        <w:tc>
          <w:tcPr>
            <w:tcW w:w="524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-positive children / young adults, particularly among those infected at birth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High HBV DNA &gt;200 000 IU/mL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Persistently normal ALT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Minimal histological disease </w:t>
            </w:r>
          </w:p>
        </w:tc>
        <w:tc>
          <w:tcPr>
            <w:tcW w:w="211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Treatment not generally indicated, but monitoring required </w:t>
            </w:r>
          </w:p>
        </w:tc>
      </w:tr>
      <w:tr w:rsidR="004112DA" w:rsidRPr="00B84061" w:rsidTr="004B62BE">
        <w:tc>
          <w:tcPr>
            <w:tcW w:w="2093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2. “Immune active”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(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-positive chronic hepatitis) </w:t>
            </w:r>
          </w:p>
        </w:tc>
        <w:tc>
          <w:tcPr>
            <w:tcW w:w="1559" w:type="dxa"/>
          </w:tcPr>
          <w:p w:rsidR="004112DA" w:rsidRPr="00B84061" w:rsidRDefault="004112DA" w:rsidP="004B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pos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>; may develop anti-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</w:t>
            </w:r>
            <w:proofErr w:type="spellEnd"/>
          </w:p>
        </w:tc>
        <w:tc>
          <w:tcPr>
            <w:tcW w:w="524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Abnormal or intermittently abnormal ALT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High or fluctuating levels of HBV replication (HBV DNA &gt;2000 IU/mL)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Histological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necroinflammatory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activity present </w:t>
            </w:r>
          </w:p>
          <w:p w:rsidR="004112DA" w:rsidRPr="00B84061" w:rsidRDefault="004112DA" w:rsidP="004B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to anti-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seroconversion possible, leading to “immune-control” phase </w:t>
            </w:r>
          </w:p>
        </w:tc>
        <w:tc>
          <w:tcPr>
            <w:tcW w:w="211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Treatment may be indicated </w:t>
            </w:r>
          </w:p>
        </w:tc>
      </w:tr>
      <w:tr w:rsidR="004112DA" w:rsidRPr="00B84061" w:rsidTr="004B62BE">
        <w:tc>
          <w:tcPr>
            <w:tcW w:w="2093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3. Inactive chronic hepatitis “Immune control”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(previously called inactive carrier) </w:t>
            </w:r>
          </w:p>
        </w:tc>
        <w:tc>
          <w:tcPr>
            <w:tcW w:w="155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negative, anti-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positive </w:t>
            </w:r>
          </w:p>
        </w:tc>
        <w:tc>
          <w:tcPr>
            <w:tcW w:w="524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Persistently normal ALT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Low or undetectable HBV DNA ( HBV DNA levels &lt;2000 IU/mL)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Risk of cirrhosis and HCC reduced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May develop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-negative disease </w:t>
            </w:r>
          </w:p>
        </w:tc>
        <w:tc>
          <w:tcPr>
            <w:tcW w:w="211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Treatment not generally indicated, but monitoring required for reactivation and HCC </w:t>
            </w:r>
          </w:p>
        </w:tc>
      </w:tr>
      <w:tr w:rsidR="004112DA" w:rsidRPr="00B84061" w:rsidTr="004B62BE">
        <w:tc>
          <w:tcPr>
            <w:tcW w:w="2093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4. “Immune escape”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(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-negative chronic hepatitis) </w:t>
            </w:r>
          </w:p>
        </w:tc>
        <w:tc>
          <w:tcPr>
            <w:tcW w:w="155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negative, with or without being anti-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positive </w:t>
            </w:r>
          </w:p>
        </w:tc>
        <w:tc>
          <w:tcPr>
            <w:tcW w:w="524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negative and anti-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positive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Abnormal ALT (persistent or intermittently)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Moderate to high levels of HBV replication (HBV DNA levels &gt;20 000 IU/mL)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Older persons especially at risk for progressive disease (fibrosis/cirrhosis) </w:t>
            </w:r>
          </w:p>
        </w:tc>
        <w:tc>
          <w:tcPr>
            <w:tcW w:w="211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Treatment may be indicated </w:t>
            </w:r>
          </w:p>
        </w:tc>
      </w:tr>
      <w:tr w:rsidR="004112DA" w:rsidRPr="00B84061" w:rsidTr="004B62BE">
        <w:tc>
          <w:tcPr>
            <w:tcW w:w="2093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5.“Reactivation” or “acute-on-chronic hepatitis” </w:t>
            </w:r>
          </w:p>
        </w:tc>
        <w:tc>
          <w:tcPr>
            <w:tcW w:w="1559" w:type="dxa"/>
          </w:tcPr>
          <w:p w:rsidR="004112DA" w:rsidRPr="00B84061" w:rsidRDefault="004112DA" w:rsidP="004B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pos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or negative </w:t>
            </w:r>
          </w:p>
        </w:tc>
        <w:tc>
          <w:tcPr>
            <w:tcW w:w="524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occur spontaneously or precipitated by immunosuppression, development of antiviral resistance, or withdrawal of antiviral therapy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Abnormal ALT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Moderate to high levels of HBV replication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Seroreversion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to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positivity can occur if </w:t>
            </w:r>
            <w:proofErr w:type="spellStart"/>
            <w:r w:rsidRPr="00B84061">
              <w:rPr>
                <w:rFonts w:ascii="Times New Roman" w:hAnsi="Times New Roman"/>
                <w:color w:val="000000"/>
                <w:lang w:val="en-GB"/>
              </w:rPr>
              <w:t>HBeAg</w:t>
            </w:r>
            <w:proofErr w:type="spellEnd"/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negative </w:t>
            </w:r>
          </w:p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• High risk of decompensation in presence of cirrhosis </w:t>
            </w:r>
          </w:p>
        </w:tc>
        <w:tc>
          <w:tcPr>
            <w:tcW w:w="2119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Treatment indicated </w:t>
            </w:r>
          </w:p>
        </w:tc>
      </w:tr>
    </w:tbl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268"/>
        <w:gridCol w:w="1985"/>
        <w:gridCol w:w="2268"/>
        <w:gridCol w:w="2551"/>
      </w:tblGrid>
      <w:tr w:rsidR="008E39DC" w:rsidRPr="00B84061" w:rsidTr="008E39DC">
        <w:trPr>
          <w:trHeight w:val="216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Antiviral agent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Potency against HBV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Resistance barrier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Activity against HIV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Cost </w:t>
            </w:r>
          </w:p>
        </w:tc>
      </w:tr>
      <w:tr w:rsidR="008E39DC" w:rsidRPr="00B84061" w:rsidTr="008E39DC">
        <w:trPr>
          <w:trHeight w:val="108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t xml:space="preserve">Interferons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Moderate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Not applicable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Moderate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</w:tr>
      <w:tr w:rsidR="008E39DC" w:rsidRPr="00B84061" w:rsidTr="008E39DC">
        <w:trPr>
          <w:trHeight w:val="428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t>Tenofovir</w:t>
            </w:r>
            <w:proofErr w:type="spellEnd"/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2551" w:type="dxa"/>
          </w:tcPr>
          <w:p w:rsidR="004112DA" w:rsidRPr="00B84061" w:rsidRDefault="004112DA" w:rsidP="008E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>Low (high in Hong Kong</w:t>
            </w:r>
            <w:r w:rsidR="008E39DC" w:rsidRPr="00B84061">
              <w:rPr>
                <w:rFonts w:ascii="Times New Roman" w:hAnsi="Times New Roman"/>
                <w:color w:val="000000"/>
                <w:lang w:val="en-GB"/>
              </w:rPr>
              <w:t>,</w:t>
            </w: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 other Asian countries) </w:t>
            </w:r>
          </w:p>
        </w:tc>
      </w:tr>
      <w:tr w:rsidR="008E39DC" w:rsidRPr="00B84061" w:rsidTr="008E39DC">
        <w:trPr>
          <w:trHeight w:val="108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lastRenderedPageBreak/>
              <w:t>Entecavir</w:t>
            </w:r>
            <w:proofErr w:type="spellEnd"/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Weak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</w:tr>
      <w:tr w:rsidR="008E39DC" w:rsidRPr="00B84061" w:rsidTr="008E39DC">
        <w:trPr>
          <w:trHeight w:val="108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t>Emtricitabine</w:t>
            </w:r>
            <w:proofErr w:type="spellEnd"/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Moderate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</w:t>
            </w:r>
          </w:p>
        </w:tc>
      </w:tr>
      <w:tr w:rsidR="008E39DC" w:rsidRPr="00B84061" w:rsidTr="008E39DC">
        <w:trPr>
          <w:trHeight w:val="108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t>Telbivudine</w:t>
            </w:r>
            <w:proofErr w:type="spellEnd"/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Unclear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</w:tr>
      <w:tr w:rsidR="008E39DC" w:rsidRPr="00B84061" w:rsidTr="008E39DC">
        <w:trPr>
          <w:trHeight w:val="108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t xml:space="preserve">Lamivudine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Moderate–high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</w:t>
            </w:r>
          </w:p>
        </w:tc>
      </w:tr>
      <w:tr w:rsidR="008E39DC" w:rsidRPr="00B84061" w:rsidTr="008E39DC">
        <w:trPr>
          <w:trHeight w:val="212"/>
          <w:jc w:val="center"/>
        </w:trPr>
        <w:tc>
          <w:tcPr>
            <w:tcW w:w="1762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B84061">
              <w:rPr>
                <w:rFonts w:ascii="Times New Roman" w:hAnsi="Times New Roman"/>
                <w:bCs/>
                <w:color w:val="000000"/>
                <w:lang w:val="en-GB"/>
              </w:rPr>
              <w:t>Adefovir</w:t>
            </w:r>
            <w:proofErr w:type="spellEnd"/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Low </w:t>
            </w:r>
          </w:p>
        </w:tc>
        <w:tc>
          <w:tcPr>
            <w:tcW w:w="1985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Moderate </w:t>
            </w:r>
          </w:p>
        </w:tc>
        <w:tc>
          <w:tcPr>
            <w:tcW w:w="2268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None (at 10 mg dose) </w:t>
            </w:r>
          </w:p>
        </w:tc>
        <w:tc>
          <w:tcPr>
            <w:tcW w:w="2551" w:type="dxa"/>
          </w:tcPr>
          <w:p w:rsidR="004112DA" w:rsidRPr="00B84061" w:rsidRDefault="004112DA" w:rsidP="00A3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B84061">
              <w:rPr>
                <w:rFonts w:ascii="Times New Roman" w:hAnsi="Times New Roman"/>
                <w:color w:val="000000"/>
                <w:lang w:val="en-GB"/>
              </w:rPr>
              <w:t xml:space="preserve">High </w:t>
            </w:r>
          </w:p>
        </w:tc>
      </w:tr>
      <w:tr w:rsidR="003B7227" w:rsidRPr="00B84061" w:rsidTr="00DF71FC">
        <w:trPr>
          <w:trHeight w:val="212"/>
          <w:jc w:val="center"/>
        </w:trPr>
        <w:tc>
          <w:tcPr>
            <w:tcW w:w="10834" w:type="dxa"/>
            <w:gridSpan w:val="5"/>
          </w:tcPr>
          <w:p w:rsidR="003B7227" w:rsidRPr="00B84061" w:rsidRDefault="003B7227" w:rsidP="003B7227">
            <w:pPr>
              <w:pStyle w:val="1"/>
              <w:shd w:val="clear" w:color="auto" w:fill="FFFFFF"/>
              <w:spacing w:before="0" w:beforeAutospacing="0" w:after="0" w:afterAutospacing="0"/>
              <w:ind w:right="300"/>
              <w:textAlignment w:val="baseline"/>
              <w:rPr>
                <w:color w:val="333333"/>
                <w:sz w:val="16"/>
                <w:szCs w:val="16"/>
                <w:lang w:val="en-GB"/>
              </w:rPr>
            </w:pPr>
            <w:r w:rsidRPr="00B84061">
              <w:rPr>
                <w:color w:val="FFFFFF" w:themeColor="background1"/>
                <w:sz w:val="16"/>
                <w:szCs w:val="16"/>
                <w:highlight w:val="darkGray"/>
                <w:lang w:val="en-GB"/>
              </w:rPr>
              <w:t>SURCE:</w:t>
            </w:r>
            <w:r w:rsidRPr="00B84061">
              <w:rPr>
                <w:color w:val="333333"/>
                <w:sz w:val="16"/>
                <w:szCs w:val="16"/>
                <w:lang w:val="en-GB"/>
              </w:rPr>
              <w:t xml:space="preserve"> WHO: first hepatitis B treatment guidelines</w:t>
            </w:r>
          </w:p>
          <w:p w:rsidR="003B7227" w:rsidRPr="00B84061" w:rsidRDefault="00852162" w:rsidP="003B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en-GB"/>
              </w:rPr>
            </w:pPr>
            <w:hyperlink r:id="rId10" w:history="1">
              <w:r w:rsidR="003B7227" w:rsidRPr="00B84061">
                <w:rPr>
                  <w:rStyle w:val="a3"/>
                  <w:rFonts w:ascii="Times New Roman" w:hAnsi="Times New Roman"/>
                  <w:sz w:val="16"/>
                  <w:szCs w:val="16"/>
                  <w:lang w:val="en-GB"/>
                </w:rPr>
                <w:t>http://apps.who.int/iris/bitstream/10665/154590/1/9789241549059_eng.pdf?ua=1&amp;ua=1</w:t>
              </w:r>
            </w:hyperlink>
          </w:p>
        </w:tc>
      </w:tr>
    </w:tbl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</w:p>
    <w:p w:rsidR="00A32492" w:rsidRPr="00B84061" w:rsidRDefault="00A32492" w:rsidP="00A32492">
      <w:pPr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</w:p>
    <w:p w:rsidR="00A32492" w:rsidRPr="00B84061" w:rsidRDefault="00A32492" w:rsidP="00A32492">
      <w:pPr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</w:p>
    <w:p w:rsidR="00A32492" w:rsidRPr="00B84061" w:rsidRDefault="00A32492" w:rsidP="00A32492">
      <w:pPr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 w:rsidRPr="00B84061">
        <w:rPr>
          <w:rFonts w:ascii="Times New Roman" w:hAnsi="Times New Roman"/>
          <w:b/>
          <w:lang w:val="en-GB"/>
        </w:rPr>
        <w:t>HBV/HDV coinfection</w:t>
      </w:r>
    </w:p>
    <w:p w:rsidR="003B7227" w:rsidRPr="00B84061" w:rsidRDefault="003B7227" w:rsidP="003B7227">
      <w:pPr>
        <w:pStyle w:val="1"/>
        <w:shd w:val="clear" w:color="auto" w:fill="FFFFFF"/>
        <w:spacing w:before="0" w:beforeAutospacing="0" w:after="0" w:afterAutospacing="0"/>
        <w:ind w:right="300"/>
        <w:jc w:val="center"/>
        <w:textAlignment w:val="baseline"/>
        <w:rPr>
          <w:color w:val="333333"/>
          <w:sz w:val="16"/>
          <w:szCs w:val="16"/>
          <w:lang w:val="en-GB"/>
        </w:rPr>
      </w:pPr>
      <w:r w:rsidRPr="00B84061">
        <w:rPr>
          <w:color w:val="FFFFFF" w:themeColor="background1"/>
          <w:sz w:val="16"/>
          <w:szCs w:val="16"/>
          <w:highlight w:val="darkGray"/>
          <w:lang w:val="en-GB"/>
        </w:rPr>
        <w:t>SURCE:</w:t>
      </w:r>
      <w:r w:rsidRPr="00B84061">
        <w:rPr>
          <w:color w:val="333333"/>
          <w:sz w:val="16"/>
          <w:szCs w:val="16"/>
          <w:lang w:val="en-GB"/>
        </w:rPr>
        <w:t xml:space="preserve"> WHO: first hepatitis B treatment guidelines</w:t>
      </w:r>
    </w:p>
    <w:p w:rsidR="003B7227" w:rsidRPr="00B84061" w:rsidRDefault="00852162" w:rsidP="003B722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color w:val="000000"/>
          <w:sz w:val="16"/>
          <w:szCs w:val="16"/>
          <w:lang w:val="en-GB"/>
        </w:rPr>
      </w:pPr>
      <w:hyperlink r:id="rId11" w:history="1">
        <w:r w:rsidR="003B7227" w:rsidRPr="00B84061">
          <w:rPr>
            <w:rStyle w:val="a3"/>
            <w:rFonts w:ascii="Times New Roman" w:hAnsi="Times New Roman"/>
            <w:sz w:val="16"/>
            <w:szCs w:val="16"/>
            <w:lang w:val="en-GB"/>
          </w:rPr>
          <w:t>http://apps.who.int/iris/bitstream/10665/154590/1/9789241549059_eng.pdf?ua=1&amp;ua=1</w:t>
        </w:r>
      </w:hyperlink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3B7227" w:rsidRPr="00B84061" w:rsidRDefault="003B7227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</w:rPr>
        <w:t xml:space="preserve">The </w:t>
      </w:r>
      <w:proofErr w:type="spellStart"/>
      <w:r w:rsidRPr="00B84061">
        <w:rPr>
          <w:rFonts w:ascii="Times New Roman" w:hAnsi="Times New Roman"/>
        </w:rPr>
        <w:t>routes</w:t>
      </w:r>
      <w:proofErr w:type="spellEnd"/>
      <w:r w:rsidRPr="00B84061">
        <w:rPr>
          <w:rFonts w:ascii="Times New Roman" w:hAnsi="Times New Roman"/>
        </w:rPr>
        <w:t xml:space="preserve"> of HDV </w:t>
      </w:r>
      <w:proofErr w:type="spellStart"/>
      <w:r w:rsidRPr="00B84061">
        <w:rPr>
          <w:rFonts w:ascii="Times New Roman" w:hAnsi="Times New Roman"/>
        </w:rPr>
        <w:t>transmission</w:t>
      </w:r>
      <w:proofErr w:type="spellEnd"/>
      <w:r w:rsidRPr="00B84061">
        <w:rPr>
          <w:rFonts w:ascii="Times New Roman" w:hAnsi="Times New Roman"/>
        </w:rPr>
        <w:t xml:space="preserve"> are </w:t>
      </w:r>
      <w:proofErr w:type="spellStart"/>
      <w:r w:rsidRPr="00B84061">
        <w:rPr>
          <w:rFonts w:ascii="Times New Roman" w:hAnsi="Times New Roman"/>
        </w:rPr>
        <w:t>the</w:t>
      </w:r>
      <w:proofErr w:type="spellEnd"/>
      <w:r w:rsidRPr="00B84061">
        <w:rPr>
          <w:rFonts w:ascii="Times New Roman" w:hAnsi="Times New Roman"/>
        </w:rPr>
        <w:t xml:space="preserve"> same as for HBV but vertical </w:t>
      </w:r>
      <w:proofErr w:type="spellStart"/>
      <w:r w:rsidRPr="00B84061">
        <w:rPr>
          <w:rFonts w:ascii="Times New Roman" w:hAnsi="Times New Roman"/>
        </w:rPr>
        <w:t>transmission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is</w:t>
      </w:r>
      <w:proofErr w:type="spellEnd"/>
      <w:r w:rsidRPr="00B84061">
        <w:rPr>
          <w:rFonts w:ascii="Times New Roman" w:hAnsi="Times New Roman"/>
        </w:rPr>
        <w:t xml:space="preserve"> rare.</w:t>
      </w:r>
    </w:p>
    <w:p w:rsidR="00790F08" w:rsidRPr="00B84061" w:rsidRDefault="00790F08" w:rsidP="00A3249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4061">
        <w:rPr>
          <w:rFonts w:ascii="Times New Roman" w:hAnsi="Times New Roman"/>
        </w:rPr>
        <w:t>High-prevalence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areas</w:t>
      </w:r>
      <w:proofErr w:type="spellEnd"/>
      <w:r w:rsidRPr="00B84061">
        <w:rPr>
          <w:rFonts w:ascii="Times New Roman" w:hAnsi="Times New Roman"/>
        </w:rPr>
        <w:t xml:space="preserve"> include:</w:t>
      </w:r>
    </w:p>
    <w:p w:rsidR="00790F08" w:rsidRPr="00B84061" w:rsidRDefault="00790F08" w:rsidP="00790F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4061">
        <w:rPr>
          <w:rFonts w:ascii="Times New Roman" w:hAnsi="Times New Roman"/>
        </w:rPr>
        <w:t>the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Mediterranean</w:t>
      </w:r>
      <w:proofErr w:type="spellEnd"/>
      <w:r w:rsidRPr="00B84061">
        <w:rPr>
          <w:rFonts w:ascii="Times New Roman" w:hAnsi="Times New Roman"/>
        </w:rPr>
        <w:t xml:space="preserve">, </w:t>
      </w:r>
      <w:proofErr w:type="spellStart"/>
      <w:r w:rsidRPr="00B84061">
        <w:rPr>
          <w:rFonts w:ascii="Times New Roman" w:hAnsi="Times New Roman"/>
        </w:rPr>
        <w:t>Middle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East</w:t>
      </w:r>
      <w:proofErr w:type="spellEnd"/>
      <w:r w:rsidRPr="00B84061">
        <w:rPr>
          <w:rFonts w:ascii="Times New Roman" w:hAnsi="Times New Roman"/>
        </w:rPr>
        <w:t xml:space="preserve"> (</w:t>
      </w:r>
      <w:proofErr w:type="spellStart"/>
      <w:r w:rsidRPr="00B84061">
        <w:rPr>
          <w:rFonts w:ascii="Times New Roman" w:hAnsi="Times New Roman"/>
        </w:rPr>
        <w:t>the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Gulf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States</w:t>
      </w:r>
      <w:proofErr w:type="spellEnd"/>
      <w:r w:rsidRPr="00B84061">
        <w:rPr>
          <w:rFonts w:ascii="Times New Roman" w:hAnsi="Times New Roman"/>
        </w:rPr>
        <w:t xml:space="preserve">, </w:t>
      </w:r>
      <w:proofErr w:type="spellStart"/>
      <w:r w:rsidRPr="00B84061">
        <w:rPr>
          <w:rFonts w:ascii="Times New Roman" w:hAnsi="Times New Roman"/>
        </w:rPr>
        <w:t>Saudi</w:t>
      </w:r>
      <w:proofErr w:type="spellEnd"/>
      <w:r w:rsidRPr="00B84061">
        <w:rPr>
          <w:rFonts w:ascii="Times New Roman" w:hAnsi="Times New Roman"/>
        </w:rPr>
        <w:t xml:space="preserve"> Arabia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Turkey</w:t>
      </w:r>
      <w:proofErr w:type="spellEnd"/>
      <w:r w:rsidRPr="00B84061">
        <w:rPr>
          <w:rFonts w:ascii="Times New Roman" w:hAnsi="Times New Roman"/>
        </w:rPr>
        <w:t xml:space="preserve">), Pakistan, Central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northern</w:t>
      </w:r>
      <w:proofErr w:type="spellEnd"/>
      <w:r w:rsidRPr="00B84061">
        <w:rPr>
          <w:rFonts w:ascii="Times New Roman" w:hAnsi="Times New Roman"/>
        </w:rPr>
        <w:t xml:space="preserve"> Asia, Japan, Taiwan, </w:t>
      </w:r>
      <w:proofErr w:type="spellStart"/>
      <w:r w:rsidRPr="00B84061">
        <w:rPr>
          <w:rFonts w:ascii="Times New Roman" w:hAnsi="Times New Roman"/>
        </w:rPr>
        <w:t>Greenland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parts</w:t>
      </w:r>
      <w:proofErr w:type="spellEnd"/>
      <w:r w:rsidRPr="00B84061">
        <w:rPr>
          <w:rFonts w:ascii="Times New Roman" w:hAnsi="Times New Roman"/>
        </w:rPr>
        <w:t xml:space="preserve"> of Africa (</w:t>
      </w:r>
      <w:proofErr w:type="spellStart"/>
      <w:r w:rsidRPr="00B84061">
        <w:rPr>
          <w:rFonts w:ascii="Times New Roman" w:hAnsi="Times New Roman"/>
        </w:rPr>
        <w:t>mainly</w:t>
      </w:r>
      <w:proofErr w:type="spellEnd"/>
      <w:r w:rsidRPr="00B84061">
        <w:rPr>
          <w:rFonts w:ascii="Times New Roman" w:hAnsi="Times New Roman"/>
        </w:rPr>
        <w:t xml:space="preserve"> horn of Africa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West Africa), </w:t>
      </w:r>
      <w:proofErr w:type="spellStart"/>
      <w:r w:rsidRPr="00B84061">
        <w:rPr>
          <w:rFonts w:ascii="Times New Roman" w:hAnsi="Times New Roman"/>
        </w:rPr>
        <w:t>the</w:t>
      </w:r>
      <w:proofErr w:type="spellEnd"/>
      <w:r w:rsidRPr="00B84061">
        <w:rPr>
          <w:rFonts w:ascii="Times New Roman" w:hAnsi="Times New Roman"/>
        </w:rPr>
        <w:t xml:space="preserve"> Amazon Basin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certain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areas</w:t>
      </w:r>
      <w:proofErr w:type="spellEnd"/>
      <w:r w:rsidRPr="00B84061">
        <w:rPr>
          <w:rFonts w:ascii="Times New Roman" w:hAnsi="Times New Roman"/>
        </w:rPr>
        <w:t xml:space="preserve"> of </w:t>
      </w:r>
      <w:proofErr w:type="spellStart"/>
      <w:r w:rsidRPr="00B84061">
        <w:rPr>
          <w:rFonts w:ascii="Times New Roman" w:hAnsi="Times New Roman"/>
        </w:rPr>
        <w:t>the</w:t>
      </w:r>
      <w:proofErr w:type="spellEnd"/>
      <w:r w:rsidRPr="00B84061">
        <w:rPr>
          <w:rFonts w:ascii="Times New Roman" w:hAnsi="Times New Roman"/>
        </w:rPr>
        <w:t xml:space="preserve"> Pacific. </w:t>
      </w:r>
    </w:p>
    <w:p w:rsidR="00790F08" w:rsidRPr="00B84061" w:rsidRDefault="00790F08" w:rsidP="00790F08">
      <w:pPr>
        <w:spacing w:after="0" w:line="240" w:lineRule="auto"/>
        <w:jc w:val="both"/>
        <w:rPr>
          <w:rFonts w:ascii="Times New Roman" w:hAnsi="Times New Roman"/>
        </w:rPr>
      </w:pPr>
      <w:r w:rsidRPr="00B84061">
        <w:rPr>
          <w:rFonts w:ascii="Times New Roman" w:hAnsi="Times New Roman"/>
        </w:rPr>
        <w:t xml:space="preserve">The </w:t>
      </w:r>
      <w:proofErr w:type="spellStart"/>
      <w:r w:rsidRPr="00B84061">
        <w:rPr>
          <w:rFonts w:ascii="Times New Roman" w:hAnsi="Times New Roman"/>
        </w:rPr>
        <w:t>prevalence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is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low</w:t>
      </w:r>
      <w:proofErr w:type="spellEnd"/>
      <w:r w:rsidRPr="00B84061">
        <w:rPr>
          <w:rFonts w:ascii="Times New Roman" w:hAnsi="Times New Roman"/>
        </w:rPr>
        <w:t xml:space="preserve"> in:</w:t>
      </w:r>
    </w:p>
    <w:p w:rsidR="003B7227" w:rsidRPr="00B84061" w:rsidRDefault="00790F08" w:rsidP="00790F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4061">
        <w:rPr>
          <w:rFonts w:ascii="Times New Roman" w:hAnsi="Times New Roman"/>
        </w:rPr>
        <w:t>North</w:t>
      </w:r>
      <w:proofErr w:type="spellEnd"/>
      <w:r w:rsidRPr="00B84061">
        <w:rPr>
          <w:rFonts w:ascii="Times New Roman" w:hAnsi="Times New Roman"/>
        </w:rPr>
        <w:t xml:space="preserve"> America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northern</w:t>
      </w:r>
      <w:proofErr w:type="spellEnd"/>
      <w:r w:rsidRPr="00B84061">
        <w:rPr>
          <w:rFonts w:ascii="Times New Roman" w:hAnsi="Times New Roman"/>
        </w:rPr>
        <w:t xml:space="preserve"> Europe, South Africa </w:t>
      </w:r>
      <w:proofErr w:type="spellStart"/>
      <w:r w:rsidRPr="00B84061">
        <w:rPr>
          <w:rFonts w:ascii="Times New Roman" w:hAnsi="Times New Roman"/>
        </w:rPr>
        <w:t>and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eastern</w:t>
      </w:r>
      <w:proofErr w:type="spellEnd"/>
      <w:r w:rsidRPr="00B84061">
        <w:rPr>
          <w:rFonts w:ascii="Times New Roman" w:hAnsi="Times New Roman"/>
        </w:rPr>
        <w:t xml:space="preserve"> Asia.</w:t>
      </w:r>
    </w:p>
    <w:p w:rsidR="00790F08" w:rsidRPr="00B84061" w:rsidRDefault="00790F08" w:rsidP="00790F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84061">
        <w:rPr>
          <w:rFonts w:ascii="Times New Roman" w:hAnsi="Times New Roman"/>
        </w:rPr>
        <w:t xml:space="preserve">Severe or fulminant </w:t>
      </w:r>
      <w:proofErr w:type="spellStart"/>
      <w:r w:rsidRPr="00B84061">
        <w:rPr>
          <w:rFonts w:ascii="Times New Roman" w:hAnsi="Times New Roman"/>
        </w:rPr>
        <w:t>hepatitis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is</w:t>
      </w:r>
      <w:proofErr w:type="spellEnd"/>
      <w:r w:rsidRPr="00B84061">
        <w:rPr>
          <w:rFonts w:ascii="Times New Roman" w:hAnsi="Times New Roman"/>
        </w:rPr>
        <w:t xml:space="preserve"> more </w:t>
      </w:r>
      <w:proofErr w:type="spellStart"/>
      <w:r w:rsidRPr="00B84061">
        <w:rPr>
          <w:rFonts w:ascii="Times New Roman" w:hAnsi="Times New Roman"/>
        </w:rPr>
        <w:t>frequently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observed</w:t>
      </w:r>
      <w:proofErr w:type="spellEnd"/>
      <w:r w:rsidRPr="00B84061">
        <w:rPr>
          <w:rFonts w:ascii="Times New Roman" w:hAnsi="Times New Roman"/>
        </w:rPr>
        <w:t xml:space="preserve"> in HBV/HDV </w:t>
      </w:r>
      <w:proofErr w:type="spellStart"/>
      <w:r w:rsidRPr="00B84061">
        <w:rPr>
          <w:rFonts w:ascii="Times New Roman" w:hAnsi="Times New Roman"/>
        </w:rPr>
        <w:t>coinfection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compared</w:t>
      </w:r>
      <w:proofErr w:type="spellEnd"/>
      <w:r w:rsidRPr="00B84061">
        <w:rPr>
          <w:rFonts w:ascii="Times New Roman" w:hAnsi="Times New Roman"/>
        </w:rPr>
        <w:t xml:space="preserve"> </w:t>
      </w:r>
      <w:proofErr w:type="spellStart"/>
      <w:r w:rsidRPr="00B84061">
        <w:rPr>
          <w:rFonts w:ascii="Times New Roman" w:hAnsi="Times New Roman"/>
        </w:rPr>
        <w:t>to</w:t>
      </w:r>
      <w:proofErr w:type="spellEnd"/>
      <w:r w:rsidRPr="00B84061">
        <w:rPr>
          <w:rFonts w:ascii="Times New Roman" w:hAnsi="Times New Roman"/>
        </w:rPr>
        <w:t xml:space="preserve"> HBV </w:t>
      </w:r>
      <w:proofErr w:type="spellStart"/>
      <w:r w:rsidRPr="00B84061">
        <w:rPr>
          <w:rFonts w:ascii="Times New Roman" w:hAnsi="Times New Roman"/>
        </w:rPr>
        <w:t>monoinfection</w:t>
      </w:r>
      <w:proofErr w:type="spellEnd"/>
      <w:r w:rsidRPr="00B84061">
        <w:rPr>
          <w:rFonts w:ascii="Times New Roman" w:hAnsi="Times New Roman"/>
        </w:rPr>
        <w:t>.</w:t>
      </w:r>
    </w:p>
    <w:p w:rsidR="00790F08" w:rsidRPr="00B84061" w:rsidRDefault="00790F08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lang w:val="en-GB"/>
        </w:rPr>
        <w:t>Two major types of HDV infection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occur:</w:t>
      </w:r>
    </w:p>
    <w:p w:rsidR="004112DA" w:rsidRPr="00B84061" w:rsidRDefault="004112DA" w:rsidP="00A324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B84061">
        <w:rPr>
          <w:rFonts w:ascii="Times New Roman" w:hAnsi="Times New Roman"/>
          <w:lang w:val="en-GB"/>
        </w:rPr>
        <w:t>acute</w:t>
      </w:r>
      <w:proofErr w:type="gramEnd"/>
      <w:r w:rsidRPr="00B84061">
        <w:rPr>
          <w:rFonts w:ascii="Times New Roman" w:hAnsi="Times New Roman"/>
          <w:lang w:val="en-GB"/>
        </w:rPr>
        <w:t xml:space="preserve"> coinfection (persons are infected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simultaneously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with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both HBV and HDV, which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can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lead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to a mild-to-severe or even fulminant hepatitis, but recovery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is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usually complete and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development of chronic delta hepatitis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is rare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="00790F08" w:rsidRPr="00B84061">
        <w:rPr>
          <w:rFonts w:ascii="Times New Roman" w:hAnsi="Times New Roman"/>
        </w:rPr>
        <w:t>(</w:t>
      </w:r>
      <w:proofErr w:type="spellStart"/>
      <w:r w:rsidR="00790F08" w:rsidRPr="00B84061">
        <w:rPr>
          <w:rFonts w:ascii="Times New Roman" w:hAnsi="Times New Roman"/>
        </w:rPr>
        <w:t>around</w:t>
      </w:r>
      <w:proofErr w:type="spellEnd"/>
      <w:r w:rsidR="00790F08" w:rsidRPr="00B84061">
        <w:rPr>
          <w:rFonts w:ascii="Times New Roman" w:hAnsi="Times New Roman"/>
        </w:rPr>
        <w:t xml:space="preserve"> 2%)</w:t>
      </w:r>
      <w:r w:rsidRPr="00B84061">
        <w:rPr>
          <w:rFonts w:ascii="Times New Roman" w:hAnsi="Times New Roman"/>
          <w:lang w:val="en-GB"/>
        </w:rPr>
        <w:t xml:space="preserve">. </w:t>
      </w:r>
    </w:p>
    <w:p w:rsidR="004112DA" w:rsidRPr="00B84061" w:rsidRDefault="004112DA" w:rsidP="00A324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lang w:val="en-GB"/>
        </w:rPr>
        <w:t>In contrast, super</w:t>
      </w:r>
      <w:r w:rsidR="008547F4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infection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with HDV (in a person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already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chronically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infected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with HBV), accelerates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the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course of chronic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disease in all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age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groups, which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develops in 70–90% of persons</w:t>
      </w:r>
      <w:r w:rsidR="00790F08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with HDV super</w:t>
      </w:r>
      <w:r w:rsidR="00A65DC9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 xml:space="preserve">infection. </w:t>
      </w:r>
    </w:p>
    <w:p w:rsidR="004112DA" w:rsidRPr="00B84061" w:rsidRDefault="004112DA" w:rsidP="00A32492">
      <w:pPr>
        <w:spacing w:after="0" w:line="240" w:lineRule="auto"/>
        <w:ind w:left="405"/>
        <w:jc w:val="both"/>
        <w:rPr>
          <w:rFonts w:ascii="Times New Roman" w:hAnsi="Times New Roman"/>
          <w:color w:val="000000"/>
          <w:lang w:val="en-GB"/>
        </w:rPr>
      </w:pPr>
    </w:p>
    <w:p w:rsidR="00BC781F" w:rsidRPr="00B84061" w:rsidRDefault="004112DA" w:rsidP="00A32492">
      <w:pPr>
        <w:spacing w:after="0" w:line="240" w:lineRule="auto"/>
        <w:ind w:left="405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lang w:val="en-GB"/>
        </w:rPr>
        <w:t>There are limited data to inform definitive guidance on the management of persons</w:t>
      </w:r>
      <w:r w:rsidR="00A65DC9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with HDV infection. Persistent HDV replication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is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the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most important predictor of mortality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and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the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need for antiviral therapy.</w:t>
      </w:r>
    </w:p>
    <w:p w:rsidR="00BC781F" w:rsidRPr="00B84061" w:rsidRDefault="004112DA" w:rsidP="00A32492">
      <w:pPr>
        <w:spacing w:after="0" w:line="240" w:lineRule="auto"/>
        <w:ind w:left="405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b/>
          <w:lang w:val="en-GB"/>
        </w:rPr>
        <w:t>PEG-IFN</w:t>
      </w:r>
      <w:r w:rsidR="00BC781F" w:rsidRPr="00B84061">
        <w:rPr>
          <w:rFonts w:ascii="Times New Roman" w:hAnsi="Times New Roman"/>
          <w:b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is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the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only drug effective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 xml:space="preserve">against HDV; </w:t>
      </w:r>
    </w:p>
    <w:p w:rsidR="00BC781F" w:rsidRPr="00B84061" w:rsidRDefault="00BC781F" w:rsidP="00A32492">
      <w:pPr>
        <w:spacing w:after="0" w:line="240" w:lineRule="auto"/>
        <w:ind w:left="405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lang w:val="en-GB"/>
        </w:rPr>
        <w:t>A</w:t>
      </w:r>
      <w:r w:rsidR="004112DA" w:rsidRPr="00B84061">
        <w:rPr>
          <w:rFonts w:ascii="Times New Roman" w:hAnsi="Times New Roman"/>
          <w:lang w:val="en-GB"/>
        </w:rPr>
        <w:t>ntiviral NAs</w:t>
      </w:r>
      <w:r w:rsidRPr="00B84061">
        <w:rPr>
          <w:rFonts w:ascii="Times New Roman" w:hAnsi="Times New Roman"/>
          <w:lang w:val="en-GB"/>
        </w:rPr>
        <w:t xml:space="preserve"> </w:t>
      </w:r>
      <w:r w:rsidR="004112DA" w:rsidRPr="00B84061">
        <w:rPr>
          <w:rFonts w:ascii="Times New Roman" w:hAnsi="Times New Roman"/>
          <w:lang w:val="en-GB"/>
        </w:rPr>
        <w:t xml:space="preserve">have no or limited effect on HDV replication. </w:t>
      </w:r>
    </w:p>
    <w:p w:rsidR="00BC781F" w:rsidRPr="00B84061" w:rsidRDefault="004112DA" w:rsidP="00A32492">
      <w:pPr>
        <w:spacing w:after="0" w:line="240" w:lineRule="auto"/>
        <w:ind w:left="405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lang w:val="en-GB"/>
        </w:rPr>
        <w:t>The optimal duration of therapy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is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not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well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 xml:space="preserve">defined, nor </w:t>
      </w:r>
      <w:proofErr w:type="gramStart"/>
      <w:r w:rsidRPr="00B84061">
        <w:rPr>
          <w:rFonts w:ascii="Times New Roman" w:hAnsi="Times New Roman"/>
          <w:lang w:val="en-GB"/>
        </w:rPr>
        <w:t>how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long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patients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need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to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be HDV RNA negative after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the end of therapy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to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achieve a sustained</w:t>
      </w:r>
      <w:r w:rsidR="00BC781F" w:rsidRPr="00B84061">
        <w:rPr>
          <w:rFonts w:ascii="Times New Roman" w:hAnsi="Times New Roman"/>
          <w:lang w:val="en-GB"/>
        </w:rPr>
        <w:t xml:space="preserve"> </w:t>
      </w:r>
      <w:proofErr w:type="spellStart"/>
      <w:r w:rsidRPr="00B84061">
        <w:rPr>
          <w:rFonts w:ascii="Times New Roman" w:hAnsi="Times New Roman"/>
          <w:lang w:val="en-GB"/>
        </w:rPr>
        <w:t>virological</w:t>
      </w:r>
      <w:proofErr w:type="spellEnd"/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response, but more than 1 year of therapy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may</w:t>
      </w:r>
      <w:proofErr w:type="gramEnd"/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be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 xml:space="preserve">necessary. </w:t>
      </w:r>
    </w:p>
    <w:p w:rsidR="00BC781F" w:rsidRPr="00B84061" w:rsidRDefault="004112DA" w:rsidP="00A32492">
      <w:pPr>
        <w:spacing w:after="0" w:line="240" w:lineRule="auto"/>
        <w:ind w:left="405"/>
        <w:jc w:val="both"/>
        <w:rPr>
          <w:rFonts w:ascii="Times New Roman" w:hAnsi="Times New Roman"/>
          <w:lang w:val="en-GB"/>
        </w:rPr>
      </w:pPr>
      <w:r w:rsidRPr="00B84061">
        <w:rPr>
          <w:rFonts w:ascii="Times New Roman" w:hAnsi="Times New Roman"/>
          <w:lang w:val="en-GB"/>
        </w:rPr>
        <w:t>The overall rate of sustained</w:t>
      </w:r>
      <w:r w:rsidR="00BC781F" w:rsidRPr="00B84061">
        <w:rPr>
          <w:rFonts w:ascii="Times New Roman" w:hAnsi="Times New Roman"/>
          <w:lang w:val="en-GB"/>
        </w:rPr>
        <w:t xml:space="preserve"> </w:t>
      </w:r>
      <w:proofErr w:type="spellStart"/>
      <w:r w:rsidRPr="00B84061">
        <w:rPr>
          <w:rFonts w:ascii="Times New Roman" w:hAnsi="Times New Roman"/>
          <w:lang w:val="en-GB"/>
        </w:rPr>
        <w:t>virological</w:t>
      </w:r>
      <w:proofErr w:type="spellEnd"/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response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remain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slow, including in children, and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most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>patients relapse after</w:t>
      </w:r>
      <w:r w:rsidR="00BC781F" w:rsidRPr="00B84061">
        <w:rPr>
          <w:rFonts w:ascii="Times New Roman" w:hAnsi="Times New Roman"/>
          <w:lang w:val="en-GB"/>
        </w:rPr>
        <w:t xml:space="preserve"> </w:t>
      </w:r>
      <w:r w:rsidRPr="00B84061">
        <w:rPr>
          <w:rFonts w:ascii="Times New Roman" w:hAnsi="Times New Roman"/>
          <w:lang w:val="en-GB"/>
        </w:rPr>
        <w:t xml:space="preserve">discontinuation of therapy. </w:t>
      </w: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b/>
          <w:bCs/>
          <w:color w:val="000000"/>
          <w:lang w:val="en-GB"/>
        </w:rPr>
        <w:t>NON-INVASIVE ASSESSMENT OF LIVER DISEASE STAGE</w:t>
      </w: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center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noProof/>
          <w:color w:val="000000"/>
          <w:lang w:val="ru-RU" w:eastAsia="ru-RU"/>
        </w:rPr>
        <w:drawing>
          <wp:inline distT="0" distB="0" distL="0" distR="0">
            <wp:extent cx="6136640" cy="1706245"/>
            <wp:effectExtent l="19050" t="19050" r="16510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7062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12DA" w:rsidRPr="00B84061" w:rsidRDefault="004112DA" w:rsidP="00A3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Cirrhosis = APRI score &gt;2 in adults</w:t>
      </w: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B84061">
        <w:rPr>
          <w:rFonts w:ascii="Times New Roman" w:hAnsi="Times New Roman"/>
          <w:b/>
          <w:color w:val="000000"/>
          <w:sz w:val="20"/>
          <w:szCs w:val="20"/>
          <w:lang w:val="en-GB"/>
        </w:rPr>
        <w:t>Useful @ sources:</w:t>
      </w:r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0"/>
          <w:szCs w:val="20"/>
          <w:lang w:val="en-GB"/>
        </w:rPr>
      </w:pPr>
      <w:r w:rsidRPr="00B84061">
        <w:rPr>
          <w:rFonts w:ascii="Times New Roman" w:hAnsi="Times New Roman"/>
          <w:b/>
          <w:color w:val="000000"/>
          <w:sz w:val="20"/>
          <w:szCs w:val="20"/>
          <w:lang w:val="en-GB"/>
        </w:rPr>
        <w:t>IDSA</w:t>
      </w:r>
      <w:r w:rsidRPr="00B84061">
        <w:rPr>
          <w:rFonts w:ascii="Times New Roman" w:hAnsi="Times New Roman"/>
          <w:color w:val="000000"/>
          <w:sz w:val="20"/>
          <w:szCs w:val="20"/>
          <w:lang w:val="en-GB"/>
        </w:rPr>
        <w:t xml:space="preserve">: </w:t>
      </w:r>
      <w:hyperlink r:id="rId13" w:history="1">
        <w:r w:rsidRPr="00B84061">
          <w:rPr>
            <w:rStyle w:val="a3"/>
            <w:rFonts w:ascii="Times New Roman" w:hAnsi="Times New Roman"/>
            <w:color w:val="000000"/>
            <w:sz w:val="20"/>
            <w:szCs w:val="20"/>
            <w:lang w:val="en-GB"/>
          </w:rPr>
          <w:t>http://www.hepatitisc.uw.edu/page/treatment/drugs</w:t>
        </w:r>
      </w:hyperlink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B84061">
        <w:rPr>
          <w:rFonts w:ascii="Times New Roman" w:hAnsi="Times New Roman"/>
          <w:b/>
          <w:color w:val="000000"/>
          <w:sz w:val="20"/>
          <w:szCs w:val="20"/>
          <w:lang w:val="en-GB"/>
        </w:rPr>
        <w:t>EASL</w:t>
      </w:r>
      <w:proofErr w:type="gramStart"/>
      <w:r w:rsidRPr="00B84061">
        <w:rPr>
          <w:rFonts w:ascii="Times New Roman" w:hAnsi="Times New Roman"/>
          <w:color w:val="000000"/>
          <w:sz w:val="20"/>
          <w:szCs w:val="20"/>
          <w:lang w:val="en-GB"/>
        </w:rPr>
        <w:t>:</w:t>
      </w:r>
      <w:proofErr w:type="gramEnd"/>
      <w:hyperlink r:id="rId14" w:history="1">
        <w:r w:rsidRPr="00B84061">
          <w:rPr>
            <w:rStyle w:val="a3"/>
            <w:rFonts w:ascii="Times New Roman" w:hAnsi="Times New Roman"/>
            <w:color w:val="000000"/>
            <w:sz w:val="20"/>
            <w:szCs w:val="20"/>
            <w:lang w:val="en-GB"/>
          </w:rPr>
          <w:t>http://www.easl.eu/research/our-contributions/clinical-practice-guidelines/detail/recommendations-on-treatment-of-hepatitis-c-2015/report/4</w:t>
        </w:r>
      </w:hyperlink>
    </w:p>
    <w:p w:rsidR="00B84061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0"/>
          <w:szCs w:val="20"/>
          <w:u w:val="none"/>
        </w:rPr>
      </w:pPr>
      <w:r w:rsidRPr="00B84061">
        <w:rPr>
          <w:rFonts w:ascii="Times New Roman" w:hAnsi="Times New Roman"/>
          <w:b/>
          <w:color w:val="000000"/>
          <w:sz w:val="20"/>
          <w:szCs w:val="20"/>
          <w:lang w:val="en-GB"/>
        </w:rPr>
        <w:t>European Association for the Study of the Liver</w:t>
      </w:r>
      <w:r w:rsidRPr="00B84061">
        <w:rPr>
          <w:rFonts w:ascii="Times New Roman" w:hAnsi="Times New Roman"/>
          <w:color w:val="000000"/>
          <w:sz w:val="20"/>
          <w:szCs w:val="20"/>
          <w:lang w:val="en-GB"/>
        </w:rPr>
        <w:t xml:space="preserve">: </w:t>
      </w:r>
      <w:hyperlink r:id="rId15" w:history="1">
        <w:r w:rsidRPr="00B84061">
          <w:rPr>
            <w:rStyle w:val="a3"/>
            <w:rFonts w:ascii="Times New Roman" w:hAnsi="Times New Roman"/>
            <w:color w:val="000000"/>
            <w:sz w:val="20"/>
            <w:szCs w:val="20"/>
            <w:lang w:val="en-GB"/>
          </w:rPr>
          <w:t>http://www.hepmag.com/articles/2512_13704.shtml</w:t>
        </w:r>
      </w:hyperlink>
    </w:p>
    <w:p w:rsidR="00B84061" w:rsidRPr="00B84061" w:rsidRDefault="004112DA" w:rsidP="00B8406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z w:val="20"/>
          <w:szCs w:val="20"/>
          <w:lang w:val="en-GB"/>
        </w:rPr>
      </w:pPr>
      <w:r w:rsidRPr="00B84061">
        <w:rPr>
          <w:rStyle w:val="a3"/>
          <w:rFonts w:ascii="Times New Roman" w:hAnsi="Times New Roman"/>
          <w:b/>
          <w:color w:val="auto"/>
          <w:sz w:val="20"/>
          <w:szCs w:val="20"/>
          <w:lang w:val="en-GB"/>
        </w:rPr>
        <w:t>WHO:</w:t>
      </w:r>
      <w:r w:rsidRPr="00B84061">
        <w:rPr>
          <w:rStyle w:val="a3"/>
          <w:rFonts w:ascii="Times New Roman" w:hAnsi="Times New Roman"/>
          <w:color w:val="auto"/>
          <w:sz w:val="20"/>
          <w:szCs w:val="20"/>
          <w:lang w:val="en-GB"/>
        </w:rPr>
        <w:t xml:space="preserve"> </w:t>
      </w:r>
      <w:hyperlink r:id="rId16" w:history="1">
        <w:r w:rsidR="00B84061" w:rsidRPr="00B84061">
          <w:rPr>
            <w:rStyle w:val="a3"/>
            <w:rFonts w:ascii="Times New Roman" w:hAnsi="Times New Roman"/>
            <w:color w:val="auto"/>
            <w:sz w:val="20"/>
            <w:szCs w:val="20"/>
            <w:lang w:val="en-GB"/>
          </w:rPr>
          <w:t>http://apps.who.int/iris/bitstream/10665/154590/1/9789241549059_eng.pdf?ua=1&amp;ua=1</w:t>
        </w:r>
      </w:hyperlink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0"/>
          <w:szCs w:val="2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A32492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B84061">
        <w:rPr>
          <w:rFonts w:ascii="Times New Roman" w:hAnsi="Times New Roman"/>
          <w:color w:val="000000"/>
          <w:lang w:val="en-GB"/>
        </w:rPr>
        <w:t>http://www.easl.eu/research/our-contributions/clinical-practice-guidelines/detail/management-of-chronic-hepatitis-b-virus-infection/report/1</w:t>
      </w: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112DA" w:rsidRPr="00B84061" w:rsidRDefault="004112DA" w:rsidP="00A32492">
      <w:pPr>
        <w:pStyle w:val="1"/>
        <w:shd w:val="clear" w:color="auto" w:fill="FFFFFF"/>
        <w:spacing w:before="0" w:beforeAutospacing="0" w:after="0" w:afterAutospacing="0"/>
        <w:jc w:val="both"/>
        <w:rPr>
          <w:rStyle w:val="apple-converted-space"/>
          <w:b w:val="0"/>
          <w:color w:val="000000"/>
          <w:sz w:val="22"/>
          <w:szCs w:val="22"/>
          <w:shd w:val="clear" w:color="auto" w:fill="FFFFFF"/>
          <w:lang w:val="en-GB"/>
        </w:rPr>
      </w:pPr>
      <w:r w:rsidRPr="00B84061">
        <w:rPr>
          <w:rStyle w:val="apple-converted-space"/>
          <w:b w:val="0"/>
          <w:color w:val="000000"/>
          <w:sz w:val="22"/>
          <w:szCs w:val="22"/>
          <w:shd w:val="clear" w:color="auto" w:fill="FFFFFF"/>
          <w:lang w:val="en-GB"/>
        </w:rPr>
        <w:t> </w:t>
      </w:r>
    </w:p>
    <w:p w:rsidR="004112DA" w:rsidRPr="00B84061" w:rsidRDefault="004112DA" w:rsidP="00A3249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  <w:lang w:val="en-GB"/>
        </w:rPr>
      </w:pPr>
    </w:p>
    <w:p w:rsidR="004112DA" w:rsidRPr="00B84061" w:rsidRDefault="004112DA" w:rsidP="00A32492">
      <w:pPr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88464E" w:rsidRPr="00B84061" w:rsidRDefault="0088464E" w:rsidP="00A32492">
      <w:pPr>
        <w:spacing w:after="0" w:line="240" w:lineRule="auto"/>
        <w:rPr>
          <w:rFonts w:ascii="Times New Roman" w:hAnsi="Times New Roman"/>
          <w:lang w:val="en-GB"/>
        </w:rPr>
      </w:pPr>
    </w:p>
    <w:sectPr w:rsidR="0088464E" w:rsidRPr="00B84061" w:rsidSect="00202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eGothic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1B3"/>
    <w:multiLevelType w:val="hybridMultilevel"/>
    <w:tmpl w:val="DD582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27C4D"/>
    <w:multiLevelType w:val="hybridMultilevel"/>
    <w:tmpl w:val="E586CC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351443F"/>
    <w:multiLevelType w:val="hybridMultilevel"/>
    <w:tmpl w:val="F332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3E1C"/>
    <w:multiLevelType w:val="hybridMultilevel"/>
    <w:tmpl w:val="E28E20D2"/>
    <w:lvl w:ilvl="0" w:tplc="041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B285898"/>
    <w:multiLevelType w:val="hybridMultilevel"/>
    <w:tmpl w:val="3350F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8377E"/>
    <w:multiLevelType w:val="hybridMultilevel"/>
    <w:tmpl w:val="26107A42"/>
    <w:lvl w:ilvl="0" w:tplc="041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61036B26"/>
    <w:multiLevelType w:val="hybridMultilevel"/>
    <w:tmpl w:val="B6C06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737F7"/>
    <w:multiLevelType w:val="hybridMultilevel"/>
    <w:tmpl w:val="8408BB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3176B2"/>
    <w:multiLevelType w:val="hybridMultilevel"/>
    <w:tmpl w:val="97540F0C"/>
    <w:lvl w:ilvl="0" w:tplc="EA881E44">
      <w:numFmt w:val="bullet"/>
      <w:lvlText w:val="•"/>
      <w:lvlJc w:val="left"/>
      <w:pPr>
        <w:ind w:left="0" w:hanging="360"/>
      </w:pPr>
      <w:rPr>
        <w:rFonts w:ascii="TradeGothic" w:eastAsia="Calibri" w:hAnsi="TradeGothic" w:cs="TradeGothic" w:hint="default"/>
        <w:b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DF4231"/>
    <w:multiLevelType w:val="hybridMultilevel"/>
    <w:tmpl w:val="151E6C1C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DA"/>
    <w:rsid w:val="00015E71"/>
    <w:rsid w:val="00022BA4"/>
    <w:rsid w:val="00061A65"/>
    <w:rsid w:val="000668C5"/>
    <w:rsid w:val="00075299"/>
    <w:rsid w:val="00083E2D"/>
    <w:rsid w:val="00087FCA"/>
    <w:rsid w:val="00092545"/>
    <w:rsid w:val="000A5660"/>
    <w:rsid w:val="000D047F"/>
    <w:rsid w:val="001141CB"/>
    <w:rsid w:val="00114EB6"/>
    <w:rsid w:val="001245F8"/>
    <w:rsid w:val="001A5EAF"/>
    <w:rsid w:val="001B551E"/>
    <w:rsid w:val="001C2145"/>
    <w:rsid w:val="0020744B"/>
    <w:rsid w:val="00211365"/>
    <w:rsid w:val="00212BDB"/>
    <w:rsid w:val="00237F41"/>
    <w:rsid w:val="002628F3"/>
    <w:rsid w:val="0026713F"/>
    <w:rsid w:val="00271D1C"/>
    <w:rsid w:val="00285F33"/>
    <w:rsid w:val="0029225D"/>
    <w:rsid w:val="002936D3"/>
    <w:rsid w:val="002975D0"/>
    <w:rsid w:val="002A1C39"/>
    <w:rsid w:val="002C06B9"/>
    <w:rsid w:val="002C22C2"/>
    <w:rsid w:val="002D2338"/>
    <w:rsid w:val="002E5276"/>
    <w:rsid w:val="002E7310"/>
    <w:rsid w:val="002F6319"/>
    <w:rsid w:val="002F7701"/>
    <w:rsid w:val="003018BC"/>
    <w:rsid w:val="00316A36"/>
    <w:rsid w:val="00335650"/>
    <w:rsid w:val="00340DBB"/>
    <w:rsid w:val="00357C40"/>
    <w:rsid w:val="00375D13"/>
    <w:rsid w:val="00376393"/>
    <w:rsid w:val="003763A6"/>
    <w:rsid w:val="003773A8"/>
    <w:rsid w:val="0038088E"/>
    <w:rsid w:val="00384567"/>
    <w:rsid w:val="003846B4"/>
    <w:rsid w:val="003B7227"/>
    <w:rsid w:val="003D30E8"/>
    <w:rsid w:val="003E4B2F"/>
    <w:rsid w:val="003E7EDC"/>
    <w:rsid w:val="00410480"/>
    <w:rsid w:val="004112DA"/>
    <w:rsid w:val="00422249"/>
    <w:rsid w:val="00425CA0"/>
    <w:rsid w:val="00431259"/>
    <w:rsid w:val="00464B20"/>
    <w:rsid w:val="00485565"/>
    <w:rsid w:val="004A484F"/>
    <w:rsid w:val="004B62BE"/>
    <w:rsid w:val="004C10CB"/>
    <w:rsid w:val="004E428F"/>
    <w:rsid w:val="004F08C6"/>
    <w:rsid w:val="005041AE"/>
    <w:rsid w:val="00512781"/>
    <w:rsid w:val="005234D6"/>
    <w:rsid w:val="0052436C"/>
    <w:rsid w:val="005313D8"/>
    <w:rsid w:val="00544040"/>
    <w:rsid w:val="00544CC4"/>
    <w:rsid w:val="00550058"/>
    <w:rsid w:val="00566D30"/>
    <w:rsid w:val="0057348E"/>
    <w:rsid w:val="005776CA"/>
    <w:rsid w:val="0058407B"/>
    <w:rsid w:val="005A2CBC"/>
    <w:rsid w:val="005B1C71"/>
    <w:rsid w:val="005B1D86"/>
    <w:rsid w:val="005B335C"/>
    <w:rsid w:val="005C3D65"/>
    <w:rsid w:val="005E3CB2"/>
    <w:rsid w:val="00620678"/>
    <w:rsid w:val="00626CB2"/>
    <w:rsid w:val="0063105E"/>
    <w:rsid w:val="0063512B"/>
    <w:rsid w:val="00635EFC"/>
    <w:rsid w:val="006460F3"/>
    <w:rsid w:val="00686CFD"/>
    <w:rsid w:val="006A0FCF"/>
    <w:rsid w:val="006A3DF9"/>
    <w:rsid w:val="006A5F1B"/>
    <w:rsid w:val="006D1BB3"/>
    <w:rsid w:val="006D5619"/>
    <w:rsid w:val="006E7008"/>
    <w:rsid w:val="006F4B22"/>
    <w:rsid w:val="006F4F6E"/>
    <w:rsid w:val="006F7826"/>
    <w:rsid w:val="00736BE9"/>
    <w:rsid w:val="00755554"/>
    <w:rsid w:val="00771990"/>
    <w:rsid w:val="00773DFC"/>
    <w:rsid w:val="00784214"/>
    <w:rsid w:val="00787736"/>
    <w:rsid w:val="00790F08"/>
    <w:rsid w:val="00791528"/>
    <w:rsid w:val="007A4A1D"/>
    <w:rsid w:val="007D6752"/>
    <w:rsid w:val="007E4936"/>
    <w:rsid w:val="007F2726"/>
    <w:rsid w:val="00804B66"/>
    <w:rsid w:val="00850102"/>
    <w:rsid w:val="00852162"/>
    <w:rsid w:val="008547F4"/>
    <w:rsid w:val="0086432C"/>
    <w:rsid w:val="00864F72"/>
    <w:rsid w:val="008713BD"/>
    <w:rsid w:val="0088464E"/>
    <w:rsid w:val="008905C9"/>
    <w:rsid w:val="008A410D"/>
    <w:rsid w:val="008B3F8F"/>
    <w:rsid w:val="008C7D9A"/>
    <w:rsid w:val="008D1E61"/>
    <w:rsid w:val="008E39DC"/>
    <w:rsid w:val="008E5F98"/>
    <w:rsid w:val="008F401F"/>
    <w:rsid w:val="00951B6F"/>
    <w:rsid w:val="00967DB6"/>
    <w:rsid w:val="009735A3"/>
    <w:rsid w:val="00984624"/>
    <w:rsid w:val="00992D68"/>
    <w:rsid w:val="009968E1"/>
    <w:rsid w:val="009B5B11"/>
    <w:rsid w:val="009C25E7"/>
    <w:rsid w:val="009C764D"/>
    <w:rsid w:val="009D09E8"/>
    <w:rsid w:val="009D4C0C"/>
    <w:rsid w:val="009E4E1D"/>
    <w:rsid w:val="009F5E4E"/>
    <w:rsid w:val="009F6019"/>
    <w:rsid w:val="00A11D3F"/>
    <w:rsid w:val="00A232D6"/>
    <w:rsid w:val="00A32492"/>
    <w:rsid w:val="00A37373"/>
    <w:rsid w:val="00A37B82"/>
    <w:rsid w:val="00A40499"/>
    <w:rsid w:val="00A55399"/>
    <w:rsid w:val="00A65DC9"/>
    <w:rsid w:val="00A6628A"/>
    <w:rsid w:val="00A67956"/>
    <w:rsid w:val="00A93181"/>
    <w:rsid w:val="00AB7AF2"/>
    <w:rsid w:val="00AC1755"/>
    <w:rsid w:val="00AE40C5"/>
    <w:rsid w:val="00AE7D6F"/>
    <w:rsid w:val="00B0377B"/>
    <w:rsid w:val="00B04241"/>
    <w:rsid w:val="00B132AE"/>
    <w:rsid w:val="00B23245"/>
    <w:rsid w:val="00B25190"/>
    <w:rsid w:val="00B34EF9"/>
    <w:rsid w:val="00B36A0E"/>
    <w:rsid w:val="00B36C7D"/>
    <w:rsid w:val="00B5348E"/>
    <w:rsid w:val="00B573A7"/>
    <w:rsid w:val="00B84061"/>
    <w:rsid w:val="00B905C5"/>
    <w:rsid w:val="00BC3CCF"/>
    <w:rsid w:val="00BC781F"/>
    <w:rsid w:val="00BD09F8"/>
    <w:rsid w:val="00C018A3"/>
    <w:rsid w:val="00C1517A"/>
    <w:rsid w:val="00C32CDF"/>
    <w:rsid w:val="00C453E5"/>
    <w:rsid w:val="00C52A60"/>
    <w:rsid w:val="00C627C0"/>
    <w:rsid w:val="00C713DF"/>
    <w:rsid w:val="00C7262B"/>
    <w:rsid w:val="00C76C0F"/>
    <w:rsid w:val="00C86935"/>
    <w:rsid w:val="00CA7061"/>
    <w:rsid w:val="00CB570E"/>
    <w:rsid w:val="00CC4FB2"/>
    <w:rsid w:val="00CC5488"/>
    <w:rsid w:val="00CD17D3"/>
    <w:rsid w:val="00CE29B5"/>
    <w:rsid w:val="00CE4EDF"/>
    <w:rsid w:val="00CF1BD8"/>
    <w:rsid w:val="00D3126F"/>
    <w:rsid w:val="00D43F70"/>
    <w:rsid w:val="00D46868"/>
    <w:rsid w:val="00D5457A"/>
    <w:rsid w:val="00D62B88"/>
    <w:rsid w:val="00D63BF0"/>
    <w:rsid w:val="00D6614A"/>
    <w:rsid w:val="00D801D2"/>
    <w:rsid w:val="00D8436C"/>
    <w:rsid w:val="00D84EF7"/>
    <w:rsid w:val="00D9048E"/>
    <w:rsid w:val="00D94757"/>
    <w:rsid w:val="00DB1152"/>
    <w:rsid w:val="00DC3739"/>
    <w:rsid w:val="00DE262C"/>
    <w:rsid w:val="00DE30FA"/>
    <w:rsid w:val="00DE66EB"/>
    <w:rsid w:val="00E02CBB"/>
    <w:rsid w:val="00E70B7F"/>
    <w:rsid w:val="00E72AF7"/>
    <w:rsid w:val="00E733E2"/>
    <w:rsid w:val="00E747FB"/>
    <w:rsid w:val="00E848F9"/>
    <w:rsid w:val="00E872FD"/>
    <w:rsid w:val="00E87940"/>
    <w:rsid w:val="00E91C23"/>
    <w:rsid w:val="00E969ED"/>
    <w:rsid w:val="00EB367B"/>
    <w:rsid w:val="00EC0CAA"/>
    <w:rsid w:val="00EC6748"/>
    <w:rsid w:val="00EE64CF"/>
    <w:rsid w:val="00EF4684"/>
    <w:rsid w:val="00F16BB8"/>
    <w:rsid w:val="00F405BA"/>
    <w:rsid w:val="00F57D79"/>
    <w:rsid w:val="00F7009C"/>
    <w:rsid w:val="00FC4DCC"/>
    <w:rsid w:val="00FD54E9"/>
    <w:rsid w:val="00FD6904"/>
    <w:rsid w:val="00FD6C3B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C444-E539-484B-A7BA-E3BC403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DA"/>
    <w:rPr>
      <w:rFonts w:ascii="Calibri" w:eastAsia="Calibri" w:hAnsi="Calibri" w:cs="Times New Roman"/>
      <w:lang w:val="ro-RO"/>
    </w:rPr>
  </w:style>
  <w:style w:type="paragraph" w:styleId="1">
    <w:name w:val="heading 1"/>
    <w:basedOn w:val="a"/>
    <w:link w:val="10"/>
    <w:uiPriority w:val="9"/>
    <w:qFormat/>
    <w:rsid w:val="00411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D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basedOn w:val="a0"/>
    <w:uiPriority w:val="99"/>
    <w:unhideWhenUsed/>
    <w:rsid w:val="00411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2DA"/>
  </w:style>
  <w:style w:type="paragraph" w:customStyle="1" w:styleId="Pa6">
    <w:name w:val="Pa6"/>
    <w:basedOn w:val="a"/>
    <w:next w:val="a"/>
    <w:uiPriority w:val="99"/>
    <w:rsid w:val="004112DA"/>
    <w:pPr>
      <w:autoSpaceDE w:val="0"/>
      <w:autoSpaceDN w:val="0"/>
      <w:adjustRightInd w:val="0"/>
      <w:spacing w:after="0" w:line="241" w:lineRule="atLeast"/>
    </w:pPr>
    <w:rPr>
      <w:rFonts w:ascii="TradeGothic Light" w:hAnsi="TradeGothic Light"/>
      <w:sz w:val="24"/>
      <w:szCs w:val="24"/>
      <w:lang w:val="en-US"/>
    </w:rPr>
  </w:style>
  <w:style w:type="paragraph" w:customStyle="1" w:styleId="Pa1">
    <w:name w:val="Pa1"/>
    <w:basedOn w:val="a"/>
    <w:next w:val="a"/>
    <w:uiPriority w:val="99"/>
    <w:rsid w:val="004112DA"/>
    <w:pPr>
      <w:autoSpaceDE w:val="0"/>
      <w:autoSpaceDN w:val="0"/>
      <w:adjustRightInd w:val="0"/>
      <w:spacing w:after="0" w:line="241" w:lineRule="atLeast"/>
    </w:pPr>
    <w:rPr>
      <w:rFonts w:ascii="TradeGothic Light" w:hAnsi="TradeGothic Light"/>
      <w:sz w:val="24"/>
      <w:szCs w:val="24"/>
      <w:lang w:val="en-US"/>
    </w:rPr>
  </w:style>
  <w:style w:type="character" w:customStyle="1" w:styleId="A5">
    <w:name w:val="A5"/>
    <w:uiPriority w:val="99"/>
    <w:rsid w:val="004112DA"/>
    <w:rPr>
      <w:rFonts w:cs="TradeGothic Light"/>
      <w:color w:val="000000"/>
      <w:sz w:val="19"/>
      <w:szCs w:val="19"/>
    </w:rPr>
  </w:style>
  <w:style w:type="character" w:customStyle="1" w:styleId="A7">
    <w:name w:val="A7"/>
    <w:uiPriority w:val="99"/>
    <w:rsid w:val="004112DA"/>
    <w:rPr>
      <w:rFonts w:cs="TradeGothic Bold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112DA"/>
    <w:pPr>
      <w:ind w:left="720"/>
      <w:contextualSpacing/>
    </w:pPr>
  </w:style>
  <w:style w:type="paragraph" w:styleId="a6">
    <w:name w:val="Balloon Text"/>
    <w:basedOn w:val="a"/>
    <w:link w:val="a8"/>
    <w:uiPriority w:val="99"/>
    <w:semiHidden/>
    <w:unhideWhenUsed/>
    <w:rsid w:val="004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uiPriority w:val="99"/>
    <w:semiHidden/>
    <w:rsid w:val="004112DA"/>
    <w:rPr>
      <w:rFonts w:ascii="Tahoma" w:eastAsia="Calibri" w:hAnsi="Tahoma" w:cs="Tahoma"/>
      <w:sz w:val="16"/>
      <w:szCs w:val="16"/>
      <w:lang w:val="ro-RO"/>
    </w:rPr>
  </w:style>
  <w:style w:type="table" w:styleId="a9">
    <w:name w:val="Table Grid"/>
    <w:basedOn w:val="a1"/>
    <w:uiPriority w:val="59"/>
    <w:rsid w:val="00E74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10665/154590/1/9789241549059_eng.pdf?ua=1&amp;ua=1" TargetMode="External"/><Relationship Id="rId13" Type="http://schemas.openxmlformats.org/officeDocument/2006/relationships/hyperlink" Target="http://www.hepatitisc.uw.edu/page/treatment/drug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ps.who.int/iris/bitstream/10665/154590/1/9789241549059_eng.pdf?ua=1&amp;ua=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who.int/iris/bitstream/10665/154590/1/9789241549059_eng.pdf?ua=1&amp;ua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s.who.int/iris/bitstream/10665/154590/1/9789241549059_eng.pdf?ua=1&amp;ua=1" TargetMode="External"/><Relationship Id="rId11" Type="http://schemas.openxmlformats.org/officeDocument/2006/relationships/hyperlink" Target="http://apps.who.int/iris/bitstream/10665/154590/1/9789241549059_eng.pdf?ua=1&amp;ua=1" TargetMode="External"/><Relationship Id="rId5" Type="http://schemas.openxmlformats.org/officeDocument/2006/relationships/hyperlink" Target="http://apps.who.int/iris/bitstream/10665/154590/1/9789241549059_eng.pdf?ua=1&amp;ua=1" TargetMode="External"/><Relationship Id="rId15" Type="http://schemas.openxmlformats.org/officeDocument/2006/relationships/hyperlink" Target="http://www.hepmag.com/articles/2512_13704.shtml" TargetMode="External"/><Relationship Id="rId10" Type="http://schemas.openxmlformats.org/officeDocument/2006/relationships/hyperlink" Target="http://apps.who.int/iris/bitstream/10665/154590/1/9789241549059_eng.pdf?ua=1&amp;u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ho.int/iris/bitstream/10665/154590/1/9789241549059_eng.pdf?ua=1&amp;ua=1" TargetMode="External"/><Relationship Id="rId14" Type="http://schemas.openxmlformats.org/officeDocument/2006/relationships/hyperlink" Target="http://www.easl.eu/research/our-contributions/clinical-practice-guidelines/detail/recommendations-on-treatment-of-hepatitis-c-2015/report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2016-04-10T17:11:00Z</dcterms:created>
  <dcterms:modified xsi:type="dcterms:W3CDTF">2016-04-10T17:11:00Z</dcterms:modified>
</cp:coreProperties>
</file>